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CA91" w14:textId="77777777" w:rsidR="0087651C" w:rsidRDefault="0087651C">
      <w:pPr>
        <w:rPr>
          <w:b/>
          <w:sz w:val="28"/>
          <w:lang w:val="en-GB"/>
        </w:rPr>
      </w:pPr>
    </w:p>
    <w:p w14:paraId="2508D8FA" w14:textId="77777777" w:rsidR="00FC0FE7" w:rsidRDefault="003568D7" w:rsidP="00FC0FE7">
      <w:pPr>
        <w:spacing w:after="0"/>
        <w:rPr>
          <w:b/>
          <w:sz w:val="28"/>
          <w:lang w:val="en-GB"/>
        </w:rPr>
      </w:pPr>
      <w:r w:rsidRPr="009F37F9">
        <w:rPr>
          <w:b/>
          <w:sz w:val="28"/>
          <w:lang w:val="en-GB"/>
        </w:rPr>
        <w:t xml:space="preserve">Proposed new classification </w:t>
      </w:r>
      <w:r w:rsidR="004745B1" w:rsidRPr="009F37F9">
        <w:rPr>
          <w:b/>
          <w:sz w:val="28"/>
          <w:lang w:val="en-GB"/>
        </w:rPr>
        <w:t>of the</w:t>
      </w:r>
      <w:r w:rsidRPr="009F37F9">
        <w:rPr>
          <w:b/>
          <w:sz w:val="28"/>
          <w:lang w:val="en-GB"/>
        </w:rPr>
        <w:t xml:space="preserve"> </w:t>
      </w:r>
      <w:r w:rsidR="00752622" w:rsidRPr="009F37F9">
        <w:rPr>
          <w:b/>
          <w:sz w:val="28"/>
          <w:lang w:val="en-GB"/>
        </w:rPr>
        <w:t xml:space="preserve">L01XE </w:t>
      </w:r>
      <w:r w:rsidRPr="009F37F9">
        <w:rPr>
          <w:b/>
          <w:sz w:val="28"/>
          <w:lang w:val="en-GB"/>
        </w:rPr>
        <w:t xml:space="preserve">Protein kinase inhibitors and </w:t>
      </w:r>
    </w:p>
    <w:p w14:paraId="3D2E1E2B" w14:textId="7D921F25" w:rsidR="000252AA" w:rsidRDefault="003568D7" w:rsidP="00FC0FE7">
      <w:pPr>
        <w:spacing w:after="0"/>
        <w:rPr>
          <w:b/>
          <w:sz w:val="28"/>
          <w:lang w:val="en-GB"/>
        </w:rPr>
      </w:pPr>
      <w:r w:rsidRPr="009F37F9">
        <w:rPr>
          <w:b/>
          <w:sz w:val="28"/>
          <w:lang w:val="en-GB"/>
        </w:rPr>
        <w:t xml:space="preserve">L01XX </w:t>
      </w:r>
      <w:proofErr w:type="gramStart"/>
      <w:r w:rsidRPr="009F37F9">
        <w:rPr>
          <w:b/>
          <w:sz w:val="28"/>
          <w:lang w:val="en-GB"/>
        </w:rPr>
        <w:t>Other</w:t>
      </w:r>
      <w:proofErr w:type="gramEnd"/>
      <w:r w:rsidRPr="009F37F9">
        <w:rPr>
          <w:b/>
          <w:sz w:val="28"/>
          <w:lang w:val="en-GB"/>
        </w:rPr>
        <w:t xml:space="preserve"> antineoplastic agents</w:t>
      </w:r>
    </w:p>
    <w:p w14:paraId="69C1C161" w14:textId="77777777" w:rsidR="00FC0FE7" w:rsidRPr="009F37F9" w:rsidRDefault="00FC0FE7" w:rsidP="00FC0FE7">
      <w:pPr>
        <w:spacing w:after="0"/>
        <w:rPr>
          <w:b/>
          <w:sz w:val="28"/>
          <w:lang w:val="en-GB"/>
        </w:rPr>
      </w:pPr>
      <w:bookmarkStart w:id="0" w:name="_GoBack"/>
      <w:bookmarkEnd w:id="0"/>
    </w:p>
    <w:p w14:paraId="2D4829D2" w14:textId="2A68FD4B" w:rsidR="000F4761" w:rsidRDefault="004745B1" w:rsidP="00BE17F6">
      <w:pPr>
        <w:rPr>
          <w:lang w:val="en-GB"/>
        </w:rPr>
      </w:pPr>
      <w:r>
        <w:rPr>
          <w:lang w:val="en-GB"/>
        </w:rPr>
        <w:t>A</w:t>
      </w:r>
      <w:r w:rsidR="00E0151C">
        <w:rPr>
          <w:lang w:val="en-GB"/>
        </w:rPr>
        <w:t xml:space="preserve"> revision of the classification </w:t>
      </w:r>
      <w:r>
        <w:rPr>
          <w:lang w:val="en-GB"/>
        </w:rPr>
        <w:t xml:space="preserve">of the </w:t>
      </w:r>
      <w:proofErr w:type="gramStart"/>
      <w:r>
        <w:rPr>
          <w:lang w:val="en-GB"/>
        </w:rPr>
        <w:t>above mentioned</w:t>
      </w:r>
      <w:proofErr w:type="gramEnd"/>
      <w:r>
        <w:rPr>
          <w:lang w:val="en-GB"/>
        </w:rPr>
        <w:t xml:space="preserve"> ATC</w:t>
      </w:r>
      <w:r w:rsidR="007B2A90">
        <w:rPr>
          <w:lang w:val="en-GB"/>
        </w:rPr>
        <w:t xml:space="preserve"> groups</w:t>
      </w:r>
      <w:r>
        <w:rPr>
          <w:lang w:val="en-GB"/>
        </w:rPr>
        <w:t xml:space="preserve"> is needed due to the increasing number of new agents that are developed in </w:t>
      </w:r>
      <w:r w:rsidR="007B2A90">
        <w:rPr>
          <w:lang w:val="en-GB"/>
        </w:rPr>
        <w:t>cancer therapy area</w:t>
      </w:r>
      <w:r w:rsidR="00EB1D9A">
        <w:rPr>
          <w:lang w:val="en-GB"/>
        </w:rPr>
        <w:t xml:space="preserve">. </w:t>
      </w:r>
      <w:proofErr w:type="gramStart"/>
      <w:r w:rsidR="007B2A90">
        <w:rPr>
          <w:lang w:val="en-GB"/>
        </w:rPr>
        <w:t>A</w:t>
      </w:r>
      <w:r w:rsidR="00EB1D9A">
        <w:rPr>
          <w:lang w:val="en-GB"/>
        </w:rPr>
        <w:t xml:space="preserve"> new</w:t>
      </w:r>
      <w:r>
        <w:rPr>
          <w:lang w:val="en-GB"/>
        </w:rPr>
        <w:t xml:space="preserve"> classification </w:t>
      </w:r>
      <w:r w:rsidR="007B2A90">
        <w:rPr>
          <w:lang w:val="en-GB"/>
        </w:rPr>
        <w:t>in these groups was discussed by</w:t>
      </w:r>
      <w:r>
        <w:rPr>
          <w:lang w:val="en-GB"/>
        </w:rPr>
        <w:t xml:space="preserve"> </w:t>
      </w:r>
      <w:r w:rsidR="00EB1D9A">
        <w:rPr>
          <w:lang w:val="en-GB"/>
        </w:rPr>
        <w:t>the WHO International Working Group</w:t>
      </w:r>
      <w:proofErr w:type="gramEnd"/>
      <w:r w:rsidR="00EB1D9A">
        <w:rPr>
          <w:lang w:val="en-GB"/>
        </w:rPr>
        <w:t xml:space="preserve"> for Drug Statistics Methodology at the latest meeting in October</w:t>
      </w:r>
      <w:r w:rsidR="00371ECB">
        <w:rPr>
          <w:lang w:val="en-GB"/>
        </w:rPr>
        <w:t xml:space="preserve"> 2019</w:t>
      </w:r>
      <w:r w:rsidR="007B2A90">
        <w:rPr>
          <w:lang w:val="en-GB"/>
        </w:rPr>
        <w:t xml:space="preserve">. </w:t>
      </w:r>
      <w:r w:rsidR="00EB1D9A">
        <w:rPr>
          <w:lang w:val="en-GB"/>
        </w:rPr>
        <w:t xml:space="preserve">The Working Group would like to </w:t>
      </w:r>
      <w:r w:rsidR="007B2A90">
        <w:rPr>
          <w:lang w:val="en-GB"/>
        </w:rPr>
        <w:t>have</w:t>
      </w:r>
      <w:r w:rsidR="00EB1D9A">
        <w:rPr>
          <w:lang w:val="en-GB"/>
        </w:rPr>
        <w:t xml:space="preserve"> feedback from </w:t>
      </w:r>
      <w:r w:rsidR="007B2A90">
        <w:rPr>
          <w:lang w:val="en-GB"/>
        </w:rPr>
        <w:t xml:space="preserve">the </w:t>
      </w:r>
      <w:r w:rsidR="00EB1D9A">
        <w:rPr>
          <w:lang w:val="en-GB"/>
        </w:rPr>
        <w:t>users of the ATC</w:t>
      </w:r>
      <w:r w:rsidR="00371ECB">
        <w:rPr>
          <w:lang w:val="en-GB"/>
        </w:rPr>
        <w:t xml:space="preserve"> system</w:t>
      </w:r>
      <w:r w:rsidR="00EB1D9A">
        <w:rPr>
          <w:lang w:val="en-GB"/>
        </w:rPr>
        <w:t xml:space="preserve"> </w:t>
      </w:r>
      <w:r w:rsidR="007B2A90">
        <w:rPr>
          <w:lang w:val="en-GB"/>
        </w:rPr>
        <w:t>to</w:t>
      </w:r>
      <w:r w:rsidR="00EB1D9A">
        <w:rPr>
          <w:lang w:val="en-GB"/>
        </w:rPr>
        <w:t xml:space="preserve"> </w:t>
      </w:r>
      <w:r w:rsidR="007B2A90">
        <w:rPr>
          <w:lang w:val="en-GB"/>
        </w:rPr>
        <w:t>ensure that</w:t>
      </w:r>
      <w:r w:rsidR="00EB1D9A">
        <w:rPr>
          <w:lang w:val="en-GB"/>
        </w:rPr>
        <w:t xml:space="preserve"> the new classification is cons</w:t>
      </w:r>
      <w:r w:rsidR="00C921BA">
        <w:rPr>
          <w:lang w:val="en-GB"/>
        </w:rPr>
        <w:t xml:space="preserve">idered </w:t>
      </w:r>
      <w:proofErr w:type="gramStart"/>
      <w:r w:rsidR="00C921BA">
        <w:rPr>
          <w:lang w:val="en-GB"/>
        </w:rPr>
        <w:t>to be useful</w:t>
      </w:r>
      <w:proofErr w:type="gramEnd"/>
      <w:r w:rsidR="00EB1D9A">
        <w:rPr>
          <w:lang w:val="en-GB"/>
        </w:rPr>
        <w:t>.</w:t>
      </w:r>
    </w:p>
    <w:p w14:paraId="44791ABB" w14:textId="77777777" w:rsidR="007B2A90" w:rsidRPr="00BE17F6" w:rsidRDefault="007B2A90" w:rsidP="00BE17F6">
      <w:pPr>
        <w:rPr>
          <w:b/>
          <w:lang w:val="en-GB"/>
        </w:rPr>
      </w:pPr>
      <w:r w:rsidRPr="00BE17F6">
        <w:rPr>
          <w:b/>
          <w:lang w:val="en-GB"/>
        </w:rPr>
        <w:t xml:space="preserve">The following alterations </w:t>
      </w:r>
      <w:proofErr w:type="gramStart"/>
      <w:r w:rsidRPr="00BE17F6">
        <w:rPr>
          <w:b/>
          <w:lang w:val="en-GB"/>
        </w:rPr>
        <w:t>are suggested</w:t>
      </w:r>
      <w:proofErr w:type="gramEnd"/>
      <w:r w:rsidRPr="00BE17F6">
        <w:rPr>
          <w:b/>
          <w:lang w:val="en-GB"/>
        </w:rPr>
        <w:t>:</w:t>
      </w:r>
    </w:p>
    <w:p w14:paraId="75034FAC" w14:textId="77777777" w:rsidR="000F4761" w:rsidRPr="00BE17F6" w:rsidRDefault="00E82F7E" w:rsidP="000F4761">
      <w:pPr>
        <w:spacing w:after="0"/>
        <w:rPr>
          <w:i/>
          <w:lang w:val="en-GB"/>
        </w:rPr>
      </w:pPr>
      <w:r>
        <w:rPr>
          <w:i/>
          <w:lang w:val="en-GB"/>
        </w:rPr>
        <w:t>Protein kinase inhibitors</w:t>
      </w:r>
    </w:p>
    <w:p w14:paraId="1B146E3A" w14:textId="682315AA" w:rsidR="006F28D6" w:rsidRDefault="007B2A90">
      <w:pPr>
        <w:rPr>
          <w:lang w:val="en-GB"/>
        </w:rPr>
      </w:pPr>
      <w:proofErr w:type="gramStart"/>
      <w:r>
        <w:rPr>
          <w:lang w:val="en-GB"/>
        </w:rPr>
        <w:t>A</w:t>
      </w:r>
      <w:r w:rsidR="00417658">
        <w:rPr>
          <w:lang w:val="en-GB"/>
        </w:rPr>
        <w:t xml:space="preserve"> new</w:t>
      </w:r>
      <w:proofErr w:type="gramEnd"/>
      <w:r w:rsidR="00417658">
        <w:rPr>
          <w:lang w:val="en-GB"/>
        </w:rPr>
        <w:t xml:space="preserve"> ATC 3</w:t>
      </w:r>
      <w:r w:rsidR="00417658" w:rsidRPr="00417658">
        <w:rPr>
          <w:vertAlign w:val="superscript"/>
          <w:lang w:val="en-GB"/>
        </w:rPr>
        <w:t>rd</w:t>
      </w:r>
      <w:r w:rsidR="00417658">
        <w:rPr>
          <w:lang w:val="en-GB"/>
        </w:rPr>
        <w:t xml:space="preserve"> level </w:t>
      </w:r>
      <w:r w:rsidR="00417658" w:rsidRPr="00BE17F6">
        <w:rPr>
          <w:i/>
          <w:lang w:val="en-GB"/>
        </w:rPr>
        <w:t>L01E Protein kinase inhibitors</w:t>
      </w:r>
      <w:r w:rsidR="00417658">
        <w:rPr>
          <w:lang w:val="en-GB"/>
        </w:rPr>
        <w:t xml:space="preserve"> </w:t>
      </w:r>
      <w:r w:rsidR="00E82F7E">
        <w:rPr>
          <w:lang w:val="en-GB"/>
        </w:rPr>
        <w:t>with</w:t>
      </w:r>
      <w:r w:rsidR="00D22B22">
        <w:rPr>
          <w:lang w:val="en-GB"/>
        </w:rPr>
        <w:t xml:space="preserve"> </w:t>
      </w:r>
      <w:r w:rsidR="006F28D6">
        <w:rPr>
          <w:lang w:val="en-GB"/>
        </w:rPr>
        <w:t>13 new ATC 4</w:t>
      </w:r>
      <w:r w:rsidR="006F28D6" w:rsidRPr="006F28D6">
        <w:rPr>
          <w:vertAlign w:val="superscript"/>
          <w:lang w:val="en-GB"/>
        </w:rPr>
        <w:t>th</w:t>
      </w:r>
      <w:r w:rsidR="00417658">
        <w:rPr>
          <w:lang w:val="en-GB"/>
        </w:rPr>
        <w:t xml:space="preserve"> levels</w:t>
      </w:r>
      <w:r>
        <w:rPr>
          <w:lang w:val="en-GB"/>
        </w:rPr>
        <w:t xml:space="preserve"> are proposed</w:t>
      </w:r>
      <w:r w:rsidR="009F37F9">
        <w:rPr>
          <w:lang w:val="en-GB"/>
        </w:rPr>
        <w:t xml:space="preserve"> (see enclosure 1)</w:t>
      </w:r>
      <w:r w:rsidR="00D22B22">
        <w:rPr>
          <w:lang w:val="en-GB"/>
        </w:rPr>
        <w:t xml:space="preserve">.  The substances are </w:t>
      </w:r>
      <w:r>
        <w:rPr>
          <w:lang w:val="en-GB"/>
        </w:rPr>
        <w:t>divided in subgroups</w:t>
      </w:r>
      <w:r w:rsidR="00D22B22">
        <w:rPr>
          <w:lang w:val="en-GB"/>
        </w:rPr>
        <w:t xml:space="preserve"> </w:t>
      </w:r>
      <w:r w:rsidR="00E82F7E">
        <w:rPr>
          <w:lang w:val="en-GB"/>
        </w:rPr>
        <w:t>according to</w:t>
      </w:r>
      <w:r w:rsidR="00D22B22">
        <w:rPr>
          <w:lang w:val="en-GB"/>
        </w:rPr>
        <w:t xml:space="preserve"> “their main targets”.  All protein kinase inhibitors in L01XE will be included in</w:t>
      </w:r>
      <w:r w:rsidR="00371ECB">
        <w:rPr>
          <w:lang w:val="en-GB"/>
        </w:rPr>
        <w:t xml:space="preserve"> </w:t>
      </w:r>
      <w:r w:rsidR="00BA4252">
        <w:rPr>
          <w:lang w:val="en-GB"/>
        </w:rPr>
        <w:t>the</w:t>
      </w:r>
      <w:r w:rsidR="00371ECB">
        <w:rPr>
          <w:lang w:val="en-GB"/>
        </w:rPr>
        <w:t xml:space="preserve"> new ATC 3</w:t>
      </w:r>
      <w:r w:rsidR="00371ECB" w:rsidRPr="00A12097">
        <w:rPr>
          <w:vertAlign w:val="superscript"/>
          <w:lang w:val="en-GB"/>
        </w:rPr>
        <w:t>rd</w:t>
      </w:r>
      <w:r w:rsidR="00371ECB">
        <w:rPr>
          <w:lang w:val="en-GB"/>
        </w:rPr>
        <w:t xml:space="preserve"> level,</w:t>
      </w:r>
      <w:r w:rsidR="00D22B22">
        <w:rPr>
          <w:lang w:val="en-GB"/>
        </w:rPr>
        <w:t xml:space="preserve"> L01E</w:t>
      </w:r>
      <w:r w:rsidR="00E82F7E">
        <w:rPr>
          <w:lang w:val="en-GB"/>
        </w:rPr>
        <w:t>. I</w:t>
      </w:r>
      <w:r w:rsidR="00D22B22">
        <w:rPr>
          <w:lang w:val="en-GB"/>
        </w:rPr>
        <w:t xml:space="preserve">n </w:t>
      </w:r>
      <w:r w:rsidR="00E82F7E">
        <w:rPr>
          <w:lang w:val="en-GB"/>
        </w:rPr>
        <w:t>addition,</w:t>
      </w:r>
      <w:r w:rsidR="00D22B22">
        <w:rPr>
          <w:lang w:val="en-GB"/>
        </w:rPr>
        <w:t xml:space="preserve"> the p</w:t>
      </w:r>
      <w:r w:rsidR="00D22B22" w:rsidRPr="00881E02">
        <w:rPr>
          <w:lang w:val="en-GB"/>
        </w:rPr>
        <w:t>hosphatidylinositol-3-kinase (Pi3K) inhibitors</w:t>
      </w:r>
      <w:r w:rsidR="00E82F7E">
        <w:rPr>
          <w:lang w:val="en-GB"/>
        </w:rPr>
        <w:t>,</w:t>
      </w:r>
      <w:r w:rsidR="00D22B22">
        <w:rPr>
          <w:lang w:val="en-GB"/>
        </w:rPr>
        <w:t xml:space="preserve"> currently classified in L01XX</w:t>
      </w:r>
      <w:r w:rsidR="00E82F7E">
        <w:rPr>
          <w:lang w:val="en-GB"/>
        </w:rPr>
        <w:t>,</w:t>
      </w:r>
      <w:r w:rsidR="00D22B22">
        <w:rPr>
          <w:lang w:val="en-GB"/>
        </w:rPr>
        <w:t xml:space="preserve"> are suggested included in </w:t>
      </w:r>
      <w:r w:rsidR="00E73063">
        <w:rPr>
          <w:lang w:val="en-GB"/>
        </w:rPr>
        <w:t xml:space="preserve">the new </w:t>
      </w:r>
      <w:r w:rsidR="00D22B22">
        <w:rPr>
          <w:lang w:val="en-GB"/>
        </w:rPr>
        <w:t>L01E</w:t>
      </w:r>
      <w:r w:rsidR="006F28D6">
        <w:rPr>
          <w:lang w:val="en-GB"/>
        </w:rPr>
        <w:t xml:space="preserve">. </w:t>
      </w:r>
    </w:p>
    <w:p w14:paraId="79D55A8B" w14:textId="77777777" w:rsidR="00E82F7E" w:rsidRDefault="00E82F7E">
      <w:pPr>
        <w:rPr>
          <w:i/>
          <w:lang w:val="en-GB"/>
        </w:rPr>
      </w:pPr>
      <w:r>
        <w:rPr>
          <w:i/>
          <w:lang w:val="en-GB"/>
        </w:rPr>
        <w:t xml:space="preserve">Other </w:t>
      </w:r>
      <w:r w:rsidRPr="00BE17F6">
        <w:rPr>
          <w:i/>
          <w:lang w:val="en-GB"/>
        </w:rPr>
        <w:t xml:space="preserve">antineoplastic agents </w:t>
      </w:r>
      <w:r>
        <w:rPr>
          <w:i/>
          <w:lang w:val="en-GB"/>
        </w:rPr>
        <w:t>(L01XX)</w:t>
      </w:r>
    </w:p>
    <w:p w14:paraId="08FF7E89" w14:textId="7DB08047" w:rsidR="00FA7ED0" w:rsidRDefault="00E82F7E">
      <w:pPr>
        <w:rPr>
          <w:lang w:val="en-GB"/>
        </w:rPr>
      </w:pPr>
      <w:r>
        <w:rPr>
          <w:lang w:val="en-GB"/>
        </w:rPr>
        <w:t>This group contains many ATC 5</w:t>
      </w:r>
      <w:r w:rsidRPr="00BE17F6">
        <w:rPr>
          <w:vertAlign w:val="superscript"/>
          <w:lang w:val="en-GB"/>
        </w:rPr>
        <w:t>th</w:t>
      </w:r>
      <w:r>
        <w:rPr>
          <w:lang w:val="en-GB"/>
        </w:rPr>
        <w:t xml:space="preserve"> level</w:t>
      </w:r>
      <w:r w:rsidR="00371ECB">
        <w:rPr>
          <w:lang w:val="en-GB"/>
        </w:rPr>
        <w:t>s</w:t>
      </w:r>
      <w:r>
        <w:rPr>
          <w:lang w:val="en-GB"/>
        </w:rPr>
        <w:t xml:space="preserve"> and is a heterogeneous group.  </w:t>
      </w:r>
      <w:r w:rsidR="00E73063">
        <w:rPr>
          <w:lang w:val="en-GB"/>
        </w:rPr>
        <w:t>It is proposed</w:t>
      </w:r>
      <w:r>
        <w:rPr>
          <w:lang w:val="en-GB"/>
        </w:rPr>
        <w:t xml:space="preserve"> to establish </w:t>
      </w:r>
      <w:r w:rsidR="00CE3EF2">
        <w:rPr>
          <w:lang w:val="en-GB"/>
        </w:rPr>
        <w:t>five</w:t>
      </w:r>
      <w:r>
        <w:rPr>
          <w:lang w:val="en-GB"/>
        </w:rPr>
        <w:t xml:space="preserve"> new ATC 4</w:t>
      </w:r>
      <w:r w:rsidRPr="00BE17F6">
        <w:rPr>
          <w:vertAlign w:val="superscript"/>
          <w:lang w:val="en-GB"/>
        </w:rPr>
        <w:t>th</w:t>
      </w:r>
      <w:r>
        <w:rPr>
          <w:lang w:val="en-GB"/>
        </w:rPr>
        <w:t xml:space="preserve"> levels (see enclosure</w:t>
      </w:r>
      <w:r w:rsidR="009F37F9">
        <w:rPr>
          <w:lang w:val="en-GB"/>
        </w:rPr>
        <w:t xml:space="preserve"> 2</w:t>
      </w:r>
      <w:r>
        <w:rPr>
          <w:lang w:val="en-GB"/>
        </w:rPr>
        <w:t xml:space="preserve">) based </w:t>
      </w:r>
      <w:r w:rsidR="009F37F9">
        <w:rPr>
          <w:lang w:val="en-GB"/>
        </w:rPr>
        <w:t xml:space="preserve">on </w:t>
      </w:r>
      <w:r>
        <w:rPr>
          <w:lang w:val="en-GB"/>
        </w:rPr>
        <w:t>the</w:t>
      </w:r>
      <w:r w:rsidR="00E73063">
        <w:rPr>
          <w:lang w:val="en-GB"/>
        </w:rPr>
        <w:t xml:space="preserve"> agents</w:t>
      </w:r>
      <w:r>
        <w:rPr>
          <w:lang w:val="en-GB"/>
        </w:rPr>
        <w:t xml:space="preserve"> main mode of actions. </w:t>
      </w:r>
      <w:r w:rsidR="00124FC1">
        <w:rPr>
          <w:lang w:val="en-GB"/>
        </w:rPr>
        <w:t>In addition</w:t>
      </w:r>
      <w:r w:rsidR="00371ECB">
        <w:rPr>
          <w:lang w:val="en-GB"/>
        </w:rPr>
        <w:t>,</w:t>
      </w:r>
      <w:r w:rsidR="00124FC1">
        <w:rPr>
          <w:lang w:val="en-GB"/>
        </w:rPr>
        <w:t xml:space="preserve"> it is suggested to alter the classification of the t</w:t>
      </w:r>
      <w:r w:rsidR="00124FC1" w:rsidRPr="00BE17F6">
        <w:rPr>
          <w:lang w:val="en-GB"/>
        </w:rPr>
        <w:t>opoisomerase 1 inhibitors</w:t>
      </w:r>
      <w:r w:rsidR="00124FC1">
        <w:rPr>
          <w:lang w:val="en-GB"/>
        </w:rPr>
        <w:t xml:space="preserve"> </w:t>
      </w:r>
      <w:r w:rsidR="00CE3EF2">
        <w:rPr>
          <w:lang w:val="en-GB"/>
        </w:rPr>
        <w:t>(</w:t>
      </w:r>
      <w:r w:rsidR="00124FC1">
        <w:rPr>
          <w:lang w:val="en-GB"/>
        </w:rPr>
        <w:t>currently classified in L01XX</w:t>
      </w:r>
      <w:r w:rsidR="00CE3EF2">
        <w:rPr>
          <w:lang w:val="en-GB"/>
        </w:rPr>
        <w:t>)</w:t>
      </w:r>
      <w:r w:rsidR="00124FC1">
        <w:rPr>
          <w:lang w:val="en-GB"/>
        </w:rPr>
        <w:t xml:space="preserve"> and</w:t>
      </w:r>
      <w:r w:rsidR="00CE3EF2">
        <w:rPr>
          <w:lang w:val="en-GB"/>
        </w:rPr>
        <w:t xml:space="preserve"> to</w:t>
      </w:r>
      <w:r w:rsidR="00124FC1">
        <w:rPr>
          <w:lang w:val="en-GB"/>
        </w:rPr>
        <w:t xml:space="preserve"> establish a new ATC 4</w:t>
      </w:r>
      <w:r w:rsidR="00124FC1" w:rsidRPr="00BE17F6">
        <w:rPr>
          <w:vertAlign w:val="superscript"/>
          <w:lang w:val="en-GB"/>
        </w:rPr>
        <w:t>th</w:t>
      </w:r>
      <w:r w:rsidR="00124FC1">
        <w:rPr>
          <w:lang w:val="en-GB"/>
        </w:rPr>
        <w:t xml:space="preserve"> level </w:t>
      </w:r>
      <w:r w:rsidR="00124FC1" w:rsidRPr="00BE17F6">
        <w:rPr>
          <w:i/>
          <w:lang w:val="en-GB"/>
        </w:rPr>
        <w:t>L01CE</w:t>
      </w:r>
      <w:r w:rsidR="00124FC1">
        <w:rPr>
          <w:lang w:val="en-GB"/>
        </w:rPr>
        <w:t xml:space="preserve"> </w:t>
      </w:r>
      <w:r w:rsidR="00124FC1" w:rsidRPr="006248F4">
        <w:rPr>
          <w:i/>
          <w:lang w:val="en-GB"/>
        </w:rPr>
        <w:t>Topoisomerase 1 inhibitors</w:t>
      </w:r>
      <w:r w:rsidR="00124FC1">
        <w:rPr>
          <w:lang w:val="en-GB"/>
        </w:rPr>
        <w:t xml:space="preserve">. </w:t>
      </w:r>
    </w:p>
    <w:tbl>
      <w:tblPr>
        <w:tblStyle w:val="Tabellrutenett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E17F6" w:rsidRPr="00FC0FE7" w14:paraId="02FE62C8" w14:textId="77777777" w:rsidTr="00BE17F6">
        <w:trPr>
          <w:trHeight w:val="1353"/>
        </w:trPr>
        <w:tc>
          <w:tcPr>
            <w:tcW w:w="9062" w:type="dxa"/>
            <w:shd w:val="clear" w:color="auto" w:fill="BDD6EE" w:themeFill="accent1" w:themeFillTint="66"/>
          </w:tcPr>
          <w:p w14:paraId="4CA600F2" w14:textId="77777777" w:rsidR="00BE17F6" w:rsidRPr="00BE17F6" w:rsidRDefault="00BE17F6" w:rsidP="007920D5">
            <w:pPr>
              <w:rPr>
                <w:i/>
                <w:lang w:val="en-GB"/>
              </w:rPr>
            </w:pPr>
            <w:r w:rsidRPr="00BE17F6">
              <w:rPr>
                <w:i/>
                <w:lang w:val="en-GB"/>
              </w:rPr>
              <w:t xml:space="preserve">Our aim is to improve the usefulness of the ATC system and we would appreciate your feedback related to the new proposed classification. </w:t>
            </w:r>
          </w:p>
          <w:p w14:paraId="177F2014" w14:textId="77777777" w:rsidR="00BE17F6" w:rsidRPr="00BE17F6" w:rsidRDefault="00BE17F6" w:rsidP="007920D5">
            <w:pPr>
              <w:rPr>
                <w:i/>
                <w:lang w:val="en-GB"/>
              </w:rPr>
            </w:pPr>
            <w:r w:rsidRPr="00BE17F6">
              <w:rPr>
                <w:i/>
                <w:lang w:val="en-GB"/>
              </w:rPr>
              <w:t>If you have alternative suggestions for subdivisions, or you consider the new classification contains too many ATC 4</w:t>
            </w:r>
            <w:r w:rsidRPr="00BE17F6">
              <w:rPr>
                <w:i/>
                <w:vertAlign w:val="superscript"/>
                <w:lang w:val="en-GB"/>
              </w:rPr>
              <w:t>th</w:t>
            </w:r>
            <w:r w:rsidRPr="00BE17F6">
              <w:rPr>
                <w:i/>
                <w:lang w:val="en-GB"/>
              </w:rPr>
              <w:t xml:space="preserve"> sublevels we would appreciate your comments.  If you think that some the subgroups should be combined we would also like to have your inputs.</w:t>
            </w:r>
          </w:p>
        </w:tc>
      </w:tr>
    </w:tbl>
    <w:p w14:paraId="74203904" w14:textId="77777777" w:rsidR="007122D5" w:rsidRDefault="007122D5">
      <w:pPr>
        <w:rPr>
          <w:lang w:val="en-GB"/>
        </w:rPr>
      </w:pPr>
    </w:p>
    <w:p w14:paraId="13384EA9" w14:textId="77777777" w:rsidR="007122D5" w:rsidRDefault="00CE3EF2">
      <w:pPr>
        <w:rPr>
          <w:lang w:val="en-GB"/>
        </w:rPr>
      </w:pPr>
      <w:r>
        <w:rPr>
          <w:lang w:val="en-GB"/>
        </w:rPr>
        <w:t>T</w:t>
      </w:r>
      <w:r w:rsidR="007122D5">
        <w:rPr>
          <w:lang w:val="en-GB"/>
        </w:rPr>
        <w:t>he</w:t>
      </w:r>
      <w:r>
        <w:rPr>
          <w:lang w:val="en-GB"/>
        </w:rPr>
        <w:t xml:space="preserve"> proposed</w:t>
      </w:r>
      <w:r w:rsidR="007122D5">
        <w:rPr>
          <w:lang w:val="en-GB"/>
        </w:rPr>
        <w:t xml:space="preserve"> new classification will be discussed </w:t>
      </w:r>
      <w:r w:rsidR="00BE17F6">
        <w:rPr>
          <w:lang w:val="en-GB"/>
        </w:rPr>
        <w:t xml:space="preserve">again </w:t>
      </w:r>
      <w:r>
        <w:rPr>
          <w:lang w:val="en-GB"/>
        </w:rPr>
        <w:t xml:space="preserve">based on the feedback from the users </w:t>
      </w:r>
      <w:r w:rsidR="007122D5">
        <w:rPr>
          <w:lang w:val="en-GB"/>
        </w:rPr>
        <w:t>at the next meeting in the Working Group in March 2019.</w:t>
      </w:r>
    </w:p>
    <w:p w14:paraId="722E6BB4" w14:textId="77777777" w:rsidR="00CE3EF2" w:rsidRDefault="00CE3EF2">
      <w:pPr>
        <w:rPr>
          <w:lang w:val="en-GB"/>
        </w:rPr>
      </w:pPr>
    </w:p>
    <w:p w14:paraId="4C237224" w14:textId="77777777" w:rsidR="00727ABA" w:rsidRDefault="00C921BA">
      <w:pPr>
        <w:rPr>
          <w:lang w:val="en-GB"/>
        </w:rPr>
      </w:pPr>
      <w:r>
        <w:rPr>
          <w:lang w:val="en-GB"/>
        </w:rPr>
        <w:t>We will appreciate your comments as soon as possible and not later than</w:t>
      </w:r>
      <w:r w:rsidR="00CE3EF2">
        <w:rPr>
          <w:lang w:val="en-GB"/>
        </w:rPr>
        <w:t xml:space="preserve"> </w:t>
      </w:r>
      <w:r w:rsidR="00727ABA">
        <w:rPr>
          <w:lang w:val="en-GB"/>
        </w:rPr>
        <w:t>1 February</w:t>
      </w:r>
      <w:r w:rsidR="00CE3EF2">
        <w:rPr>
          <w:lang w:val="en-GB"/>
        </w:rPr>
        <w:t>, 2020.</w:t>
      </w:r>
      <w:r w:rsidR="00727ABA">
        <w:rPr>
          <w:lang w:val="en-GB"/>
        </w:rPr>
        <w:t xml:space="preserve"> </w:t>
      </w:r>
    </w:p>
    <w:p w14:paraId="29DD3032" w14:textId="77777777" w:rsidR="00727ABA" w:rsidRDefault="00727ABA">
      <w:pPr>
        <w:rPr>
          <w:lang w:val="en-GB"/>
        </w:rPr>
      </w:pPr>
    </w:p>
    <w:p w14:paraId="79E6CF13" w14:textId="68B2B6D0" w:rsidR="00CE3EF2" w:rsidRPr="00727ABA" w:rsidRDefault="00727ABA">
      <w:pPr>
        <w:rPr>
          <w:b/>
          <w:lang w:val="en-GB"/>
        </w:rPr>
      </w:pPr>
      <w:r w:rsidRPr="00727ABA">
        <w:rPr>
          <w:b/>
          <w:lang w:val="en-GB"/>
        </w:rPr>
        <w:t xml:space="preserve">Please reply </w:t>
      </w:r>
      <w:r w:rsidR="00F03AAC">
        <w:rPr>
          <w:b/>
          <w:lang w:val="en-GB"/>
        </w:rPr>
        <w:t xml:space="preserve">by mail to </w:t>
      </w:r>
      <w:hyperlink r:id="rId10" w:history="1">
        <w:r w:rsidRPr="00727ABA">
          <w:rPr>
            <w:rStyle w:val="Hyperkobling"/>
            <w:b/>
            <w:lang w:val="en-GB"/>
          </w:rPr>
          <w:t>whocc@fhi.no</w:t>
        </w:r>
      </w:hyperlink>
      <w:r w:rsidRPr="00727ABA">
        <w:rPr>
          <w:b/>
          <w:lang w:val="en-GB"/>
        </w:rPr>
        <w:t xml:space="preserve">. </w:t>
      </w:r>
    </w:p>
    <w:p w14:paraId="3AF735EB" w14:textId="77777777" w:rsidR="0087651C" w:rsidRDefault="0087651C">
      <w:pPr>
        <w:rPr>
          <w:lang w:val="en-GB"/>
        </w:rPr>
      </w:pPr>
    </w:p>
    <w:p w14:paraId="26A30151" w14:textId="0FBF8A3D" w:rsidR="00CE3EF2" w:rsidRDefault="00F03AAC">
      <w:pPr>
        <w:rPr>
          <w:lang w:val="en-GB"/>
        </w:rPr>
      </w:pPr>
      <w:r>
        <w:rPr>
          <w:lang w:val="en-GB"/>
        </w:rPr>
        <w:t>Your sincerely</w:t>
      </w:r>
    </w:p>
    <w:p w14:paraId="56764C2D" w14:textId="389FFE33" w:rsidR="00CE3EF2" w:rsidRDefault="00727ABA">
      <w:pPr>
        <w:rPr>
          <w:lang w:val="en-GB"/>
        </w:rPr>
      </w:pPr>
      <w:r>
        <w:rPr>
          <w:lang w:val="en-GB"/>
        </w:rPr>
        <w:t xml:space="preserve">WHO Collaborating Centre for Drug Statistics Methodology </w:t>
      </w:r>
    </w:p>
    <w:p w14:paraId="4A6BDCD2" w14:textId="77777777" w:rsidR="00BA4252" w:rsidRDefault="00BA4252">
      <w:pPr>
        <w:rPr>
          <w:lang w:val="en-GB"/>
        </w:rPr>
      </w:pPr>
    </w:p>
    <w:p w14:paraId="105122CD" w14:textId="77777777" w:rsidR="0087651C" w:rsidRDefault="0087651C">
      <w:pPr>
        <w:rPr>
          <w:lang w:val="en-GB"/>
        </w:rPr>
        <w:sectPr w:rsidR="0087651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E2732" w14:textId="391863BA" w:rsidR="00BA4252" w:rsidRPr="001A5143" w:rsidRDefault="009F37F9" w:rsidP="001A5143">
      <w:pPr>
        <w:pageBreakBefore/>
        <w:rPr>
          <w:rFonts w:cstheme="minorHAnsi"/>
          <w:b/>
          <w:sz w:val="28"/>
          <w:u w:val="single"/>
          <w:lang w:val="en-GB"/>
        </w:rPr>
      </w:pPr>
      <w:r w:rsidRPr="009F37F9">
        <w:rPr>
          <w:rFonts w:cstheme="minorHAnsi"/>
          <w:b/>
          <w:sz w:val="28"/>
          <w:u w:val="single"/>
          <w:lang w:val="en-GB"/>
        </w:rPr>
        <w:lastRenderedPageBreak/>
        <w:t>Enclosure 1</w:t>
      </w:r>
      <w:r w:rsidR="001A5143">
        <w:rPr>
          <w:rFonts w:cstheme="minorHAnsi"/>
          <w:b/>
          <w:sz w:val="28"/>
          <w:u w:val="single"/>
          <w:lang w:val="en-GB"/>
        </w:rPr>
        <w:t xml:space="preserve"> </w:t>
      </w:r>
      <w:r w:rsidR="001A5143" w:rsidRPr="001A5143">
        <w:rPr>
          <w:rFonts w:cstheme="minorHAnsi"/>
          <w:b/>
          <w:sz w:val="28"/>
          <w:lang w:val="en-GB"/>
        </w:rPr>
        <w:t xml:space="preserve">Proposed new ATC level L01E Protein kinase inhibitors decided </w:t>
      </w:r>
      <w:r w:rsidR="00C921BA">
        <w:rPr>
          <w:rFonts w:cstheme="minorHAnsi"/>
          <w:b/>
          <w:sz w:val="28"/>
          <w:lang w:val="en-GB"/>
        </w:rPr>
        <w:t>at the Working Group meeting October 2019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37"/>
        <w:gridCol w:w="2787"/>
        <w:gridCol w:w="174"/>
        <w:gridCol w:w="859"/>
        <w:gridCol w:w="154"/>
        <w:gridCol w:w="174"/>
        <w:gridCol w:w="255"/>
        <w:gridCol w:w="303"/>
        <w:gridCol w:w="673"/>
        <w:gridCol w:w="1211"/>
        <w:gridCol w:w="338"/>
      </w:tblGrid>
      <w:tr w:rsidR="00BA4252" w:rsidRPr="00941F8D" w14:paraId="0C4B69F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29E81" w14:textId="77777777" w:rsidR="00BA4252" w:rsidRPr="00941F8D" w:rsidRDefault="00BA4252" w:rsidP="00550176">
            <w:pPr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>L01E</w:t>
            </w:r>
          </w:p>
        </w:tc>
        <w:tc>
          <w:tcPr>
            <w:tcW w:w="3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77F9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 xml:space="preserve">Protein </w:t>
            </w:r>
            <w:proofErr w:type="spellStart"/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>kinase</w:t>
            </w:r>
            <w:proofErr w:type="spellEnd"/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 xml:space="preserve"> inhibitors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5F38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C8D09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>Current</w:t>
            </w:r>
            <w:proofErr w:type="spellEnd"/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 xml:space="preserve"> ATC </w:t>
            </w:r>
            <w:proofErr w:type="spellStart"/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>code</w:t>
            </w:r>
            <w:proofErr w:type="spellEnd"/>
            <w:r w:rsidRPr="00941F8D">
              <w:rPr>
                <w:rFonts w:eastAsia="Times New Roman" w:cstheme="minorHAnsi"/>
                <w:b/>
                <w:color w:val="000000"/>
                <w:lang w:eastAsia="nb-NO"/>
              </w:rPr>
              <w:t xml:space="preserve"> L01XE--</w:t>
            </w:r>
          </w:p>
        </w:tc>
      </w:tr>
      <w:tr w:rsidR="00BA4252" w:rsidRPr="00FC0FE7" w14:paraId="73AE6FDA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398" w14:textId="77777777" w:rsidR="00BA4252" w:rsidRPr="0093629E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3629E">
              <w:rPr>
                <w:rFonts w:eastAsia="Times New Roman" w:cstheme="minorHAnsi"/>
                <w:b/>
                <w:color w:val="000000"/>
                <w:lang w:eastAsia="nb-NO"/>
              </w:rPr>
              <w:t>L01EA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C07" w14:textId="77777777" w:rsidR="00BA4252" w:rsidRPr="0093629E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3629E">
              <w:rPr>
                <w:rFonts w:eastAsia="Times New Roman" w:cstheme="minorHAnsi"/>
                <w:b/>
                <w:color w:val="000000"/>
                <w:lang w:val="en-GB" w:eastAsia="nb-NO"/>
              </w:rPr>
              <w:t>BCR-ABL tyrosine-kinase inhibitors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24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</w:tr>
      <w:tr w:rsidR="00BA4252" w:rsidRPr="00941F8D" w14:paraId="3F7053D8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6A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29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8C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imatinib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3C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E4C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8A9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</w:tr>
      <w:tr w:rsidR="00BA4252" w:rsidRPr="00941F8D" w14:paraId="1A741756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74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DA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D5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dasatinib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5A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144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93A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06</w:t>
            </w:r>
          </w:p>
        </w:tc>
      </w:tr>
      <w:tr w:rsidR="00BA4252" w:rsidRPr="00941F8D" w14:paraId="004C4B1D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9B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3A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0B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nilotinib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9C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1C4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238B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08</w:t>
            </w:r>
          </w:p>
        </w:tc>
      </w:tr>
      <w:tr w:rsidR="00BA4252" w:rsidRPr="00941F8D" w14:paraId="723ACA5E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32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5A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DB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bosutinib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C1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BDE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0B7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14</w:t>
            </w:r>
          </w:p>
        </w:tc>
      </w:tr>
      <w:tr w:rsidR="00BA4252" w:rsidRPr="00941F8D" w14:paraId="09B0F87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9B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41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F7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ponatinib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2E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3B1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3F4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24</w:t>
            </w:r>
          </w:p>
        </w:tc>
      </w:tr>
      <w:tr w:rsidR="00BA4252" w:rsidRPr="00FC0FE7" w14:paraId="47AEE940" w14:textId="77777777" w:rsidTr="00550176">
        <w:trPr>
          <w:gridAfter w:val="2"/>
          <w:wAfter w:w="1549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5A7" w14:textId="77777777" w:rsidR="00BA4252" w:rsidRPr="00AB31D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AB31D3">
              <w:rPr>
                <w:rFonts w:eastAsia="Times New Roman" w:cstheme="minorHAnsi"/>
                <w:b/>
                <w:color w:val="000000"/>
                <w:lang w:eastAsia="nb-NO"/>
              </w:rPr>
              <w:t>L01EB</w:t>
            </w:r>
          </w:p>
        </w:tc>
        <w:tc>
          <w:tcPr>
            <w:tcW w:w="6416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686361E1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DB121D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Epidermal growth factor receptor (EGFR)-</w:t>
            </w:r>
            <w:proofErr w:type="spellStart"/>
            <w:r w:rsidRPr="00DB121D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tyrosin</w:t>
            </w:r>
            <w:proofErr w:type="spellEnd"/>
            <w:r w:rsidRPr="00DB121D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 kinase inhibitors</w:t>
            </w:r>
          </w:p>
        </w:tc>
      </w:tr>
      <w:tr w:rsidR="00BA4252" w:rsidRPr="00941F8D" w14:paraId="0CD3442D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276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42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CA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gefitinib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0E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EEB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BB0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</w:tr>
      <w:tr w:rsidR="00BA4252" w:rsidRPr="00941F8D" w14:paraId="40551CE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F8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C3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7B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erlotinib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FB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69F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F935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</w:tr>
      <w:tr w:rsidR="00BA4252" w:rsidRPr="00941F8D" w14:paraId="04EE5D85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A72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F1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FCC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afatinib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2D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153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01FF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13</w:t>
            </w:r>
          </w:p>
        </w:tc>
      </w:tr>
      <w:tr w:rsidR="00BA4252" w:rsidRPr="00941F8D" w14:paraId="283FCDAA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E8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8F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3C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osimertinib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3B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3BE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857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35</w:t>
            </w:r>
          </w:p>
        </w:tc>
      </w:tr>
      <w:tr w:rsidR="00BA4252" w:rsidRPr="00941F8D" w14:paraId="3A5E43BE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51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83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8E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rociletinib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6E5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C5B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801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941F8D">
              <w:rPr>
                <w:rFonts w:eastAsia="Times New Roman" w:cstheme="minorHAnsi"/>
                <w:lang w:eastAsia="nb-NO"/>
              </w:rPr>
              <w:t>37</w:t>
            </w:r>
          </w:p>
        </w:tc>
      </w:tr>
      <w:tr w:rsidR="00BA4252" w:rsidRPr="00941F8D" w14:paraId="0AE1D84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0A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4D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06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3D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olmutinib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ABF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83B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569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40</w:t>
            </w:r>
          </w:p>
        </w:tc>
      </w:tr>
      <w:tr w:rsidR="00BA4252" w:rsidRPr="00941F8D" w14:paraId="1C96419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83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D9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07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B6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dacomitinib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692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84A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787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47</w:t>
            </w:r>
          </w:p>
        </w:tc>
      </w:tr>
      <w:tr w:rsidR="00BA4252" w:rsidRPr="00941F8D" w14:paraId="7162B22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FC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2C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08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FA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icotinib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BDB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141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8DE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48</w:t>
            </w:r>
          </w:p>
        </w:tc>
      </w:tr>
      <w:tr w:rsidR="00BA4252" w:rsidRPr="00FC0FE7" w14:paraId="36B9C37E" w14:textId="77777777" w:rsidTr="00550176">
        <w:trPr>
          <w:gridAfter w:val="7"/>
          <w:wAfter w:w="310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6E8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L01EC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151D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lang w:val="en-GB" w:eastAsia="nb-NO"/>
              </w:rPr>
              <w:t>B-</w:t>
            </w:r>
            <w:proofErr w:type="spellStart"/>
            <w:r w:rsidRPr="00902CF3">
              <w:rPr>
                <w:rFonts w:eastAsia="Times New Roman" w:cstheme="minorHAnsi"/>
                <w:b/>
                <w:lang w:val="en-GB" w:eastAsia="nb-NO"/>
              </w:rPr>
              <w:t>Raf</w:t>
            </w:r>
            <w:proofErr w:type="spellEnd"/>
            <w:r w:rsidRPr="00902CF3">
              <w:rPr>
                <w:rFonts w:eastAsia="Times New Roman" w:cstheme="minorHAnsi"/>
                <w:b/>
                <w:lang w:val="en-GB" w:eastAsia="nb-NO"/>
              </w:rPr>
              <w:t xml:space="preserve"> serine-threonine kinase (BRAF) inhibitors</w:t>
            </w:r>
          </w:p>
        </w:tc>
      </w:tr>
      <w:tr w:rsidR="00BA4252" w:rsidRPr="00941F8D" w14:paraId="63678BE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6F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26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17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vemurafenib</w:t>
            </w:r>
            <w:proofErr w:type="spellEnd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25D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CB8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15</w:t>
            </w:r>
          </w:p>
        </w:tc>
      </w:tr>
      <w:tr w:rsidR="00BA4252" w:rsidRPr="00941F8D" w14:paraId="0B5264C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09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6A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5C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dabrafenib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7E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28F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4F9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23</w:t>
            </w:r>
          </w:p>
        </w:tc>
      </w:tr>
      <w:tr w:rsidR="00BA4252" w:rsidRPr="00941F8D" w14:paraId="1618F71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C76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5D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DF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encorafenib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DF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722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2E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46</w:t>
            </w:r>
          </w:p>
        </w:tc>
      </w:tr>
      <w:tr w:rsidR="00BA4252" w:rsidRPr="00FC0FE7" w14:paraId="642A6D1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1088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L01ED</w:t>
            </w:r>
          </w:p>
        </w:tc>
        <w:tc>
          <w:tcPr>
            <w:tcW w:w="7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494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val="en-GB" w:eastAsia="nb-NO"/>
              </w:rPr>
              <w:t>Anaplastic lymphoma kinase (ALK) inhibitors</w:t>
            </w:r>
          </w:p>
        </w:tc>
      </w:tr>
      <w:tr w:rsidR="00BA4252" w:rsidRPr="00941F8D" w14:paraId="6C301B09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41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9C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64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crizotinib</w:t>
            </w:r>
            <w:proofErr w:type="spellEnd"/>
            <w:r w:rsidRPr="00941F8D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FA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3A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C6A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16</w:t>
            </w:r>
          </w:p>
        </w:tc>
      </w:tr>
      <w:tr w:rsidR="00BA4252" w:rsidRPr="00941F8D" w14:paraId="74EC865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44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2F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5EE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ceritinib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C8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C0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7DA2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28</w:t>
            </w:r>
          </w:p>
        </w:tc>
      </w:tr>
      <w:tr w:rsidR="00BA4252" w:rsidRPr="00941F8D" w14:paraId="37F9F54B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2C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8D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AC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alectinib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D7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F74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AF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36</w:t>
            </w:r>
          </w:p>
        </w:tc>
      </w:tr>
      <w:tr w:rsidR="00BA4252" w:rsidRPr="00941F8D" w14:paraId="37B831B7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FF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3A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7F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brigatinib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0E2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6D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2F7A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43</w:t>
            </w:r>
          </w:p>
        </w:tc>
      </w:tr>
      <w:tr w:rsidR="00BA4252" w:rsidRPr="00941F8D" w14:paraId="5B698832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D8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81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41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lorlatinib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13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25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20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44</w:t>
            </w:r>
          </w:p>
        </w:tc>
      </w:tr>
      <w:tr w:rsidR="00BA4252" w:rsidRPr="00FC0FE7" w14:paraId="1C71B252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0C9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L01EE</w:t>
            </w:r>
          </w:p>
        </w:tc>
        <w:tc>
          <w:tcPr>
            <w:tcW w:w="7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B12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val="en-GB" w:eastAsia="nb-NO"/>
              </w:rPr>
              <w:t>Mitogen-activated protein kinase (MEK) inhibitors</w:t>
            </w:r>
          </w:p>
        </w:tc>
      </w:tr>
      <w:tr w:rsidR="00BA4252" w:rsidRPr="00941F8D" w14:paraId="5DEBF18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0C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CF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D6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trametinib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9A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11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01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25</w:t>
            </w:r>
          </w:p>
        </w:tc>
      </w:tr>
      <w:tr w:rsidR="00BA4252" w:rsidRPr="00941F8D" w14:paraId="6C9ECB0B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B3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568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14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cobimetinib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999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C35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51E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38</w:t>
            </w:r>
          </w:p>
        </w:tc>
      </w:tr>
      <w:tr w:rsidR="00BA4252" w:rsidRPr="00941F8D" w14:paraId="6552090D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B7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81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30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binimetinib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D2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649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F6C0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41</w:t>
            </w:r>
          </w:p>
        </w:tc>
      </w:tr>
      <w:tr w:rsidR="00BA4252" w:rsidRPr="00941F8D" w14:paraId="3F5F86FE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27B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CB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69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selumetinib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CF8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A6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D76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--</w:t>
            </w:r>
          </w:p>
        </w:tc>
      </w:tr>
      <w:tr w:rsidR="00BA4252" w:rsidRPr="00FC0FE7" w14:paraId="2641C8B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0EB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L01EF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E9F" w14:textId="13AE19D3" w:rsidR="00BA4252" w:rsidRPr="00902CF3" w:rsidRDefault="00923D2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>
              <w:rPr>
                <w:rFonts w:eastAsia="Times New Roman" w:cstheme="minorHAnsi"/>
                <w:b/>
                <w:color w:val="000000"/>
                <w:lang w:val="en-GB" w:eastAsia="nb-NO"/>
              </w:rPr>
              <w:t>Cyclin-dependent kinase</w:t>
            </w:r>
            <w:r w:rsidR="00BA4252" w:rsidRPr="00902CF3">
              <w:rPr>
                <w:rFonts w:eastAsia="Times New Roman" w:cstheme="minorHAnsi"/>
                <w:b/>
                <w:color w:val="000000"/>
                <w:lang w:val="en-GB" w:eastAsia="nb-NO"/>
              </w:rPr>
              <w:t xml:space="preserve"> (CDK) inhibitors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F2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</w:tr>
      <w:tr w:rsidR="00BA4252" w:rsidRPr="00941F8D" w14:paraId="5515D52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5F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CD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43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palbociclib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22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A1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253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33</w:t>
            </w:r>
          </w:p>
        </w:tc>
      </w:tr>
      <w:tr w:rsidR="00BA4252" w:rsidRPr="00941F8D" w14:paraId="3DC5077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81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DF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17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ribociclib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97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D8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626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42</w:t>
            </w:r>
          </w:p>
        </w:tc>
      </w:tr>
      <w:tr w:rsidR="00BA4252" w:rsidRPr="00941F8D" w14:paraId="3DA40EA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00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CF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28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abemaciclib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2B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C7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33D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50</w:t>
            </w:r>
          </w:p>
        </w:tc>
      </w:tr>
      <w:tr w:rsidR="00BA4252" w:rsidRPr="00FC0FE7" w14:paraId="410CF205" w14:textId="77777777" w:rsidTr="00550176">
        <w:trPr>
          <w:gridAfter w:val="3"/>
          <w:wAfter w:w="2222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FC52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L01EG</w:t>
            </w:r>
          </w:p>
        </w:tc>
        <w:tc>
          <w:tcPr>
            <w:tcW w:w="57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BAB7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lang w:val="en-GB" w:eastAsia="nb-NO"/>
              </w:rPr>
              <w:t>Mammalian target of rapamycin (</w:t>
            </w:r>
            <w:proofErr w:type="spellStart"/>
            <w:r w:rsidRPr="00902CF3">
              <w:rPr>
                <w:rFonts w:eastAsia="Times New Roman" w:cstheme="minorHAnsi"/>
                <w:b/>
                <w:lang w:val="en-GB" w:eastAsia="nb-NO"/>
              </w:rPr>
              <w:t>mTOR</w:t>
            </w:r>
            <w:proofErr w:type="spellEnd"/>
            <w:r w:rsidRPr="00902CF3">
              <w:rPr>
                <w:rFonts w:eastAsia="Times New Roman" w:cstheme="minorHAnsi"/>
                <w:b/>
                <w:lang w:val="en-GB" w:eastAsia="nb-NO"/>
              </w:rPr>
              <w:t>) kinase inhibitors</w:t>
            </w:r>
          </w:p>
        </w:tc>
      </w:tr>
      <w:tr w:rsidR="00BA4252" w:rsidRPr="00941F8D" w14:paraId="193E3D3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71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CFC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AC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temsirolimus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736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5D4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09</w:t>
            </w:r>
          </w:p>
        </w:tc>
      </w:tr>
      <w:tr w:rsidR="00BA4252" w:rsidRPr="00941F8D" w14:paraId="6267AB43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AC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4A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BC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everolimus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BA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0E6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591F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</w:tr>
      <w:tr w:rsidR="00BA4252" w:rsidRPr="00941F8D" w14:paraId="798310E2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219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FE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9E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ridaforolimus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A41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750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941F8D">
              <w:rPr>
                <w:rFonts w:eastAsia="Times New Roman" w:cstheme="minorHAnsi"/>
                <w:lang w:eastAsia="nb-NO"/>
              </w:rPr>
              <w:t>19</w:t>
            </w:r>
          </w:p>
        </w:tc>
      </w:tr>
      <w:tr w:rsidR="00BA4252" w:rsidRPr="00FC0FE7" w14:paraId="08422569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B2BA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L01EH</w:t>
            </w:r>
          </w:p>
        </w:tc>
        <w:tc>
          <w:tcPr>
            <w:tcW w:w="7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088" w14:textId="6BD85803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lang w:val="en-GB" w:eastAsia="nb-NO"/>
              </w:rPr>
              <w:t>Human epidermal growth factor receptor 2 (HER2) tyrosine kinase inhibitors</w:t>
            </w:r>
          </w:p>
        </w:tc>
      </w:tr>
      <w:tr w:rsidR="00BA4252" w:rsidRPr="00941F8D" w14:paraId="212CAC69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2D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18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56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lapatinib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3CC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69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365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07</w:t>
            </w:r>
          </w:p>
        </w:tc>
      </w:tr>
      <w:tr w:rsidR="00BA4252" w:rsidRPr="00941F8D" w14:paraId="38738209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F2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E5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09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neratinib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C73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2ED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3CE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45</w:t>
            </w:r>
          </w:p>
        </w:tc>
      </w:tr>
      <w:tr w:rsidR="00BA4252" w:rsidRPr="00941F8D" w14:paraId="164766FF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8D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C43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01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tucatinib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619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28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A268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--</w:t>
            </w:r>
          </w:p>
        </w:tc>
      </w:tr>
      <w:tr w:rsidR="00BA4252" w:rsidRPr="00FC0FE7" w14:paraId="141C7B5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7D0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L01EJ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C2B9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val="en-GB" w:eastAsia="nb-NO"/>
              </w:rPr>
              <w:t>Janus Associated Kinase (JAK) inhibitors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D1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</w:tr>
      <w:tr w:rsidR="00BA4252" w:rsidRPr="00941F8D" w14:paraId="75F981E8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2BE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E83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27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ruxolitinib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72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F5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AD4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18</w:t>
            </w:r>
          </w:p>
        </w:tc>
      </w:tr>
      <w:tr w:rsidR="00BA4252" w:rsidRPr="00941F8D" w14:paraId="474B158E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8A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30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41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fedratinib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4D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D7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D56B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57</w:t>
            </w:r>
          </w:p>
        </w:tc>
      </w:tr>
      <w:tr w:rsidR="00BA4252" w:rsidRPr="00FC0FE7" w14:paraId="6EECC140" w14:textId="77777777" w:rsidTr="00550176">
        <w:trPr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CC6" w14:textId="77777777" w:rsidR="000524E3" w:rsidRDefault="000524E3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</w:p>
          <w:p w14:paraId="2686BE75" w14:textId="1FE623F2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L01EK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BBC3E3" w14:textId="77777777" w:rsidR="000524E3" w:rsidRDefault="000524E3" w:rsidP="0055017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en-GB" w:eastAsia="nb-NO"/>
              </w:rPr>
            </w:pPr>
          </w:p>
          <w:p w14:paraId="1A454820" w14:textId="21814834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902CF3">
              <w:rPr>
                <w:rFonts w:eastAsia="Times New Roman" w:cstheme="minorHAnsi"/>
                <w:b/>
                <w:color w:val="000000" w:themeColor="text1"/>
                <w:lang w:val="en-GB" w:eastAsia="nb-NO"/>
              </w:rPr>
              <w:t>Vascular endothelial growth factor receptor (VEGFR)-tyrosine kinase inhibitors</w:t>
            </w:r>
          </w:p>
        </w:tc>
      </w:tr>
      <w:tr w:rsidR="00BA4252" w:rsidRPr="00941F8D" w14:paraId="4EAFE99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4F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E3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5B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axitinib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69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6A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710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17</w:t>
            </w:r>
          </w:p>
        </w:tc>
      </w:tr>
      <w:tr w:rsidR="00BA4252" w:rsidRPr="00941F8D" w14:paraId="6629B30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35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CB3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F7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cediranib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05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3D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BE6F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941F8D">
              <w:rPr>
                <w:rFonts w:eastAsia="Times New Roman" w:cstheme="minorHAnsi"/>
                <w:lang w:eastAsia="nb-NO"/>
              </w:rPr>
              <w:t>32</w:t>
            </w:r>
          </w:p>
        </w:tc>
      </w:tr>
      <w:tr w:rsidR="00BA4252" w:rsidRPr="00941F8D" w14:paraId="03D04B27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2A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26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448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tivoz</w:t>
            </w:r>
            <w:r w:rsidRPr="00941F8D">
              <w:rPr>
                <w:rFonts w:eastAsia="Times New Roman" w:cstheme="minorHAnsi"/>
                <w:color w:val="000000"/>
                <w:lang w:eastAsia="nb-NO"/>
              </w:rPr>
              <w:t>anib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DD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C2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FDA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34</w:t>
            </w:r>
          </w:p>
        </w:tc>
      </w:tr>
      <w:tr w:rsidR="00BA4252" w:rsidRPr="00FC0FE7" w14:paraId="7A671993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92F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L01EL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BBE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proofErr w:type="spellStart"/>
            <w:r w:rsidRPr="00902CF3">
              <w:rPr>
                <w:rFonts w:eastAsia="Times New Roman" w:cstheme="minorHAnsi"/>
                <w:b/>
                <w:color w:val="000000"/>
                <w:lang w:val="en-GB" w:eastAsia="nb-NO"/>
              </w:rPr>
              <w:t>Bruton`s</w:t>
            </w:r>
            <w:proofErr w:type="spellEnd"/>
            <w:r w:rsidRPr="00902CF3">
              <w:rPr>
                <w:rFonts w:eastAsia="Times New Roman" w:cstheme="minorHAnsi"/>
                <w:b/>
                <w:color w:val="000000"/>
                <w:lang w:val="en-GB" w:eastAsia="nb-NO"/>
              </w:rPr>
              <w:t xml:space="preserve"> tyrosine kinase (BTK) inhibitors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8E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</w:tr>
      <w:tr w:rsidR="00BA4252" w:rsidRPr="00941F8D" w14:paraId="287F0825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D8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68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82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ibrutinib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EF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EE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EBF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27</w:t>
            </w:r>
          </w:p>
        </w:tc>
      </w:tr>
      <w:tr w:rsidR="00BA4252" w:rsidRPr="00941F8D" w14:paraId="1C7E63FA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1D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89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92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acalabrutinib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0EF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A705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51</w:t>
            </w:r>
          </w:p>
        </w:tc>
      </w:tr>
      <w:tr w:rsidR="00BA4252" w:rsidRPr="002770CE" w14:paraId="0879DAAC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3CB8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color w:val="000000"/>
                <w:lang w:eastAsia="nb-NO"/>
              </w:rPr>
              <w:t>L01EM</w:t>
            </w:r>
          </w:p>
        </w:tc>
        <w:tc>
          <w:tcPr>
            <w:tcW w:w="5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42F2" w14:textId="6FAE9FD1" w:rsidR="00BA4252" w:rsidRPr="002770CE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nb-NO"/>
              </w:rPr>
            </w:pPr>
            <w:r w:rsidRPr="002770CE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Phosphatidylinos</w:t>
            </w:r>
            <w:r w:rsidR="0089450F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itol-3-kinase (Pi3K) inhibitors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3187" w14:textId="77777777" w:rsidR="00BA4252" w:rsidRPr="002770CE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EC60" w14:textId="77777777" w:rsidR="00BA4252" w:rsidRPr="002770CE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nb-NO"/>
              </w:rPr>
            </w:pPr>
          </w:p>
        </w:tc>
      </w:tr>
      <w:tr w:rsidR="00BA4252" w:rsidRPr="00941F8D" w14:paraId="47A96E12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AA03" w14:textId="77777777" w:rsidR="00BA4252" w:rsidRPr="002770CE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1166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96DDE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ide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alisib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A23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ACCF" w14:textId="77777777" w:rsidR="00BA4252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L01XX47</w:t>
            </w:r>
          </w:p>
        </w:tc>
      </w:tr>
      <w:tr w:rsidR="00BA4252" w:rsidRPr="00941F8D" w14:paraId="281DB375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7F75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79F5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1664C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copanlisib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579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F77F" w14:textId="77777777" w:rsidR="00BA4252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L01XX61</w:t>
            </w:r>
          </w:p>
        </w:tc>
      </w:tr>
      <w:tr w:rsidR="00BA4252" w:rsidRPr="00941F8D" w14:paraId="2875AB0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4DB2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765C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09950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alpelisib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6F8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4862" w14:textId="77777777" w:rsidR="00BA4252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L01XX65</w:t>
            </w:r>
          </w:p>
        </w:tc>
      </w:tr>
      <w:tr w:rsidR="00BA4252" w:rsidRPr="00941F8D" w14:paraId="22399F0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D8D8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B901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A0960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duvelisib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493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BCAA" w14:textId="77777777" w:rsidR="00BA4252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--</w:t>
            </w:r>
          </w:p>
        </w:tc>
      </w:tr>
      <w:tr w:rsidR="00BA4252" w:rsidRPr="00941F8D" w14:paraId="6DB4FA65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34B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L01EX</w:t>
            </w:r>
          </w:p>
        </w:tc>
        <w:tc>
          <w:tcPr>
            <w:tcW w:w="5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1E0" w14:textId="77777777" w:rsidR="00BA4252" w:rsidRPr="00902CF3" w:rsidRDefault="00BA4252" w:rsidP="005501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b-NO"/>
              </w:rPr>
            </w:pPr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 xml:space="preserve">Other protein </w:t>
            </w:r>
            <w:proofErr w:type="spellStart"/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>kinase</w:t>
            </w:r>
            <w:proofErr w:type="spellEnd"/>
            <w:r w:rsidRPr="00902CF3">
              <w:rPr>
                <w:rFonts w:eastAsia="Times New Roman" w:cstheme="minorHAnsi"/>
                <w:b/>
                <w:color w:val="000000"/>
                <w:lang w:eastAsia="nb-NO"/>
              </w:rPr>
              <w:t xml:space="preserve"> inhibitors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FF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EA8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A4252" w:rsidRPr="00941F8D" w14:paraId="75B2B52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CF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4A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01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D2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sunitinib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207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3B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C4C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</w:tr>
      <w:tr w:rsidR="00BA4252" w:rsidRPr="00941F8D" w14:paraId="25136596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57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86E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02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BC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sorafenib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77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50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1FC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05</w:t>
            </w:r>
          </w:p>
        </w:tc>
      </w:tr>
      <w:tr w:rsidR="00BA4252" w:rsidRPr="00941F8D" w14:paraId="5AEB86DD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AD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F1A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03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51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pazopanib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1B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81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418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11</w:t>
            </w:r>
          </w:p>
        </w:tc>
      </w:tr>
      <w:tr w:rsidR="00BA4252" w:rsidRPr="00941F8D" w14:paraId="2F443DD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45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EE6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04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EA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vandetanib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55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DF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AE1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12</w:t>
            </w:r>
          </w:p>
        </w:tc>
      </w:tr>
      <w:tr w:rsidR="00BA4252" w:rsidRPr="00941F8D" w14:paraId="0C6A934E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79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873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05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74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regorafenib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48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C2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3DA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21</w:t>
            </w:r>
          </w:p>
        </w:tc>
      </w:tr>
      <w:tr w:rsidR="00BA4252" w:rsidRPr="0093629E" w14:paraId="3396BC6D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DA6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445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06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398" w14:textId="22B28A5B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mas</w:t>
            </w:r>
            <w:r w:rsidR="005F104E">
              <w:rPr>
                <w:rFonts w:eastAsia="Times New Roman" w:cstheme="minorHAnsi"/>
                <w:lang w:eastAsia="nb-NO"/>
              </w:rPr>
              <w:t>i</w:t>
            </w:r>
            <w:r w:rsidRPr="00941F8D">
              <w:rPr>
                <w:rFonts w:eastAsia="Times New Roman" w:cstheme="minorHAnsi"/>
                <w:lang w:eastAsia="nb-NO"/>
              </w:rPr>
              <w:t>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B9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630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485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941F8D">
              <w:rPr>
                <w:rFonts w:eastAsia="Times New Roman" w:cstheme="minorHAnsi"/>
                <w:lang w:eastAsia="nb-NO"/>
              </w:rPr>
              <w:t>22</w:t>
            </w:r>
          </w:p>
        </w:tc>
      </w:tr>
      <w:tr w:rsidR="00BA4252" w:rsidRPr="00941F8D" w14:paraId="239675C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E9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03E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07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739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cabozantinib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D4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AA1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26</w:t>
            </w:r>
          </w:p>
        </w:tc>
      </w:tr>
      <w:tr w:rsidR="00BA4252" w:rsidRPr="00941F8D" w14:paraId="69AEE6C5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CA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3C5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08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95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lenvatinib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65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60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1DD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29</w:t>
            </w:r>
          </w:p>
        </w:tc>
      </w:tr>
      <w:tr w:rsidR="00BA4252" w:rsidRPr="00941F8D" w14:paraId="2B43DCEA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B7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2C9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09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9C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nintedanib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FE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D5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5DD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31</w:t>
            </w:r>
          </w:p>
        </w:tc>
      </w:tr>
      <w:tr w:rsidR="00BA4252" w:rsidRPr="00941F8D" w14:paraId="4078129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76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CAD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82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lang w:eastAsia="nb-NO"/>
              </w:rPr>
              <w:t>midostaurin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0A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5B9BD5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DE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331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39</w:t>
            </w:r>
          </w:p>
        </w:tc>
      </w:tr>
      <w:tr w:rsidR="00BA4252" w:rsidRPr="00941F8D" w14:paraId="32B1E64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08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F7C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11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CF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quizartinib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E4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277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5B5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52</w:t>
            </w:r>
          </w:p>
        </w:tc>
      </w:tr>
      <w:tr w:rsidR="00BA4252" w:rsidRPr="00941F8D" w14:paraId="3A798641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199C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794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12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E3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larotrectinib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6D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21A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53</w:t>
            </w:r>
          </w:p>
        </w:tc>
      </w:tr>
      <w:tr w:rsidR="00BA4252" w:rsidRPr="00941F8D" w14:paraId="76701ED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80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BBF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13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E8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gilteritinib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292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76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903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54</w:t>
            </w:r>
          </w:p>
        </w:tc>
      </w:tr>
      <w:tr w:rsidR="00BA4252" w:rsidRPr="00941F8D" w14:paraId="3AFECC8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2E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7C1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14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7D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entrectinib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3B4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AA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1CC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56</w:t>
            </w:r>
          </w:p>
        </w:tc>
      </w:tr>
      <w:tr w:rsidR="00BA4252" w:rsidRPr="00941F8D" w14:paraId="479BC672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0A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3881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15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A068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pexidartinib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CD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D470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--</w:t>
            </w:r>
          </w:p>
        </w:tc>
      </w:tr>
      <w:tr w:rsidR="00BA4252" w:rsidRPr="00941F8D" w14:paraId="0CAE40BA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E39F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2D4B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16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A9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erdafitinib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71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A20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D3B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--</w:t>
            </w:r>
          </w:p>
        </w:tc>
      </w:tr>
      <w:tr w:rsidR="00BA4252" w:rsidRPr="00941F8D" w14:paraId="0F37D860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D3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0F1E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17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9D4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capmatinib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4B05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D0B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C469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--</w:t>
            </w:r>
          </w:p>
        </w:tc>
      </w:tr>
      <w:tr w:rsidR="00BA4252" w:rsidRPr="00941F8D" w14:paraId="7D3B0BD4" w14:textId="77777777" w:rsidTr="00550176">
        <w:trPr>
          <w:gridAfter w:val="1"/>
          <w:wAfter w:w="338" w:type="dxa"/>
          <w:trHeight w:val="9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163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9ABD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18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348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941F8D">
              <w:rPr>
                <w:rFonts w:eastAsia="Times New Roman" w:cstheme="minorHAnsi"/>
                <w:color w:val="000000"/>
                <w:lang w:eastAsia="nb-NO"/>
              </w:rPr>
              <w:t>avapritinib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026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B3A" w14:textId="77777777" w:rsidR="00BA4252" w:rsidRPr="00941F8D" w:rsidRDefault="00BA4252" w:rsidP="005501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EFB7" w14:textId="77777777" w:rsidR="00BA4252" w:rsidRPr="00941F8D" w:rsidRDefault="00BA4252" w:rsidP="00550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41F8D">
              <w:rPr>
                <w:rFonts w:eastAsia="Times New Roman" w:cstheme="minorHAnsi"/>
                <w:color w:val="000000"/>
                <w:lang w:eastAsia="nb-NO"/>
              </w:rPr>
              <w:t>--</w:t>
            </w:r>
          </w:p>
        </w:tc>
      </w:tr>
    </w:tbl>
    <w:p w14:paraId="5D41C7BD" w14:textId="77777777" w:rsidR="00BA4252" w:rsidRPr="00941F8D" w:rsidRDefault="00BA4252" w:rsidP="00BA4252">
      <w:pPr>
        <w:rPr>
          <w:rFonts w:cstheme="minorHAnsi"/>
          <w:b/>
          <w:sz w:val="24"/>
          <w:lang w:val="en-GB"/>
        </w:rPr>
      </w:pPr>
    </w:p>
    <w:p w14:paraId="5A18332A" w14:textId="77777777" w:rsidR="00BA4252" w:rsidRDefault="00BA4252">
      <w:pPr>
        <w:rPr>
          <w:lang w:val="en-GB"/>
        </w:rPr>
      </w:pPr>
    </w:p>
    <w:p w14:paraId="6D6FB430" w14:textId="77777777" w:rsidR="00BA4252" w:rsidRDefault="00BA4252">
      <w:pPr>
        <w:rPr>
          <w:lang w:val="en-GB"/>
        </w:rPr>
      </w:pPr>
    </w:p>
    <w:p w14:paraId="71607EC9" w14:textId="77777777" w:rsidR="00BA4252" w:rsidRDefault="00BA4252">
      <w:pPr>
        <w:rPr>
          <w:lang w:val="en-GB"/>
        </w:rPr>
      </w:pPr>
    </w:p>
    <w:p w14:paraId="1DECCDD9" w14:textId="77777777" w:rsidR="00BA4252" w:rsidRDefault="00BA4252">
      <w:pPr>
        <w:rPr>
          <w:lang w:val="en-GB"/>
        </w:rPr>
      </w:pPr>
    </w:p>
    <w:p w14:paraId="20A1B5CE" w14:textId="77777777" w:rsidR="00BA4252" w:rsidRDefault="00BA4252">
      <w:pPr>
        <w:rPr>
          <w:lang w:val="en-GB"/>
        </w:rPr>
      </w:pPr>
    </w:p>
    <w:p w14:paraId="76C86D9C" w14:textId="77777777" w:rsidR="00BA4252" w:rsidRDefault="00BA4252">
      <w:pPr>
        <w:rPr>
          <w:lang w:val="en-GB"/>
        </w:rPr>
      </w:pPr>
    </w:p>
    <w:p w14:paraId="0221E858" w14:textId="77777777" w:rsidR="00BA4252" w:rsidRDefault="00BA4252">
      <w:pPr>
        <w:rPr>
          <w:lang w:val="en-GB"/>
        </w:rPr>
      </w:pPr>
    </w:p>
    <w:p w14:paraId="29B5E0D6" w14:textId="209DA888" w:rsidR="009F37F9" w:rsidRPr="009F37F9" w:rsidRDefault="009F37F9" w:rsidP="00F44E46">
      <w:pPr>
        <w:pageBreakBefore/>
        <w:rPr>
          <w:rFonts w:cstheme="minorHAnsi"/>
          <w:b/>
          <w:sz w:val="28"/>
          <w:u w:val="single"/>
          <w:lang w:val="en-GB"/>
        </w:rPr>
      </w:pPr>
      <w:r w:rsidRPr="009F37F9">
        <w:rPr>
          <w:rFonts w:cstheme="minorHAnsi"/>
          <w:b/>
          <w:sz w:val="28"/>
          <w:u w:val="single"/>
          <w:lang w:val="en-GB"/>
        </w:rPr>
        <w:lastRenderedPageBreak/>
        <w:t>Enclosure 2</w:t>
      </w:r>
    </w:p>
    <w:p w14:paraId="2D545ABB" w14:textId="784703A8" w:rsidR="00BA4252" w:rsidRPr="001A5143" w:rsidRDefault="001A5143" w:rsidP="00BA4252">
      <w:pPr>
        <w:rPr>
          <w:rFonts w:cstheme="minorHAnsi"/>
          <w:b/>
          <w:sz w:val="28"/>
          <w:u w:val="single"/>
          <w:lang w:val="en-GB"/>
        </w:rPr>
      </w:pPr>
      <w:r w:rsidRPr="00EB7362">
        <w:rPr>
          <w:rFonts w:cstheme="minorHAnsi"/>
          <w:b/>
          <w:sz w:val="28"/>
          <w:lang w:val="en-GB"/>
        </w:rPr>
        <w:t xml:space="preserve">Proposed new </w:t>
      </w:r>
      <w:r>
        <w:rPr>
          <w:rFonts w:cstheme="minorHAnsi"/>
          <w:b/>
          <w:sz w:val="28"/>
          <w:lang w:val="en-GB"/>
        </w:rPr>
        <w:t>ATC 4</w:t>
      </w:r>
      <w:r w:rsidRPr="001B7397">
        <w:rPr>
          <w:rFonts w:cstheme="minorHAnsi"/>
          <w:b/>
          <w:sz w:val="28"/>
          <w:vertAlign w:val="superscript"/>
          <w:lang w:val="en-GB"/>
        </w:rPr>
        <w:t>th</w:t>
      </w:r>
      <w:r>
        <w:rPr>
          <w:rFonts w:cstheme="minorHAnsi"/>
          <w:b/>
          <w:sz w:val="28"/>
          <w:lang w:val="en-GB"/>
        </w:rPr>
        <w:t xml:space="preserve"> levels in L01X </w:t>
      </w:r>
      <w:proofErr w:type="gramStart"/>
      <w:r>
        <w:rPr>
          <w:rFonts w:cstheme="minorHAnsi"/>
          <w:b/>
          <w:sz w:val="28"/>
          <w:lang w:val="en-GB"/>
        </w:rPr>
        <w:t>Other</w:t>
      </w:r>
      <w:proofErr w:type="gramEnd"/>
      <w:r>
        <w:rPr>
          <w:rFonts w:cstheme="minorHAnsi"/>
          <w:b/>
          <w:sz w:val="28"/>
          <w:lang w:val="en-GB"/>
        </w:rPr>
        <w:t xml:space="preserve"> antineoplastic agents </w:t>
      </w:r>
      <w:r w:rsidRPr="00EB7362">
        <w:rPr>
          <w:rFonts w:cstheme="minorHAnsi"/>
          <w:b/>
          <w:sz w:val="28"/>
          <w:lang w:val="en-GB"/>
        </w:rPr>
        <w:t>decided at</w:t>
      </w:r>
      <w:r>
        <w:rPr>
          <w:rFonts w:cstheme="minorHAnsi"/>
          <w:b/>
          <w:sz w:val="28"/>
          <w:lang w:val="en-GB"/>
        </w:rPr>
        <w:t xml:space="preserve"> Working Group meeting</w:t>
      </w:r>
      <w:r w:rsidR="00C921BA">
        <w:rPr>
          <w:rFonts w:cstheme="minorHAnsi"/>
          <w:b/>
          <w:sz w:val="28"/>
          <w:lang w:val="en-GB"/>
        </w:rPr>
        <w:t xml:space="preserve"> October 2019</w:t>
      </w:r>
    </w:p>
    <w:tbl>
      <w:tblPr>
        <w:tblW w:w="86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592"/>
        <w:gridCol w:w="4053"/>
        <w:gridCol w:w="2047"/>
        <w:gridCol w:w="635"/>
      </w:tblGrid>
      <w:tr w:rsidR="00BA4252" w:rsidRPr="003F0AF2" w14:paraId="75E18719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508C505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L01XF</w:t>
            </w:r>
          </w:p>
        </w:tc>
        <w:tc>
          <w:tcPr>
            <w:tcW w:w="4645" w:type="dxa"/>
            <w:gridSpan w:val="2"/>
            <w:shd w:val="clear" w:color="auto" w:fill="auto"/>
            <w:noWrap/>
            <w:vAlign w:val="bottom"/>
            <w:hideMark/>
          </w:tcPr>
          <w:p w14:paraId="4C7B3824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Retinoids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for cancer </w:t>
            </w: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treatment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2E25A96D" w14:textId="47B9FD1F" w:rsidR="00BA4252" w:rsidRPr="001A5143" w:rsidRDefault="001A5143" w:rsidP="001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1A51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Current</w:t>
            </w:r>
            <w:proofErr w:type="spellEnd"/>
            <w:r w:rsidRPr="001A51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ATC </w:t>
            </w:r>
            <w:proofErr w:type="spellStart"/>
            <w:r w:rsidRPr="001A51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code</w:t>
            </w:r>
            <w:proofErr w:type="spellEnd"/>
            <w:r w:rsidRPr="001A51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L01XX--</w:t>
            </w:r>
          </w:p>
        </w:tc>
      </w:tr>
      <w:tr w:rsidR="00BA4252" w:rsidRPr="003F0AF2" w14:paraId="253A1B59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808B561" w14:textId="77777777" w:rsidR="00BA4252" w:rsidRPr="003F0AF2" w:rsidRDefault="00BA4252" w:rsidP="005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31232846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2CCCDDB2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tretinoin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4A61CE74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BA4252" w:rsidRPr="003F0AF2" w14:paraId="46DB99AE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37EBB1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1959AE49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207FD6DA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alitretinoin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636222BD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</w:tr>
      <w:tr w:rsidR="00BA4252" w:rsidRPr="003F0AF2" w14:paraId="6CE6CB71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1A38D10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2A678B63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03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615B1015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bexarotene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7D84DB87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</w:tr>
      <w:tr w:rsidR="00BA4252" w:rsidRPr="003F0AF2" w14:paraId="0F21D501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D17A290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L01XG</w:t>
            </w:r>
          </w:p>
        </w:tc>
        <w:tc>
          <w:tcPr>
            <w:tcW w:w="4645" w:type="dxa"/>
            <w:gridSpan w:val="2"/>
            <w:shd w:val="clear" w:color="auto" w:fill="auto"/>
            <w:noWrap/>
            <w:vAlign w:val="bottom"/>
            <w:hideMark/>
          </w:tcPr>
          <w:p w14:paraId="3EC45989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Proteasome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inhibitors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0DABB3EA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A4252" w:rsidRPr="003F0AF2" w14:paraId="661797EB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F5354C" w14:textId="77777777" w:rsidR="00BA4252" w:rsidRPr="003F0AF2" w:rsidRDefault="00BA4252" w:rsidP="005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1D0A655A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32DEDEC6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bortezomib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2B152ACC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</w:tr>
      <w:tr w:rsidR="00BA4252" w:rsidRPr="003F0AF2" w14:paraId="0DBF9C7B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22BFAF9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5C47EBCF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4E2E5DBB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carfilzomib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63CEC099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</w:tr>
      <w:tr w:rsidR="00BA4252" w:rsidRPr="003F0AF2" w14:paraId="2EC714B3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AE2C792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390ED7F3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03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097F49B1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ixazomib</w:t>
            </w:r>
            <w:proofErr w:type="spellEnd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733AB88E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</w:tr>
      <w:tr w:rsidR="00BA4252" w:rsidRPr="003F0AF2" w14:paraId="028CB66E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671ED46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L01XH</w:t>
            </w:r>
          </w:p>
        </w:tc>
        <w:tc>
          <w:tcPr>
            <w:tcW w:w="6692" w:type="dxa"/>
            <w:gridSpan w:val="3"/>
            <w:shd w:val="clear" w:color="auto" w:fill="auto"/>
            <w:noWrap/>
            <w:vAlign w:val="bottom"/>
            <w:hideMark/>
          </w:tcPr>
          <w:p w14:paraId="7BA84C86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Histone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</w:t>
            </w: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deacetylase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(HDAC) inhibitors</w:t>
            </w:r>
          </w:p>
        </w:tc>
      </w:tr>
      <w:tr w:rsidR="00BA4252" w:rsidRPr="003F0AF2" w14:paraId="480822DF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B3F5647" w14:textId="77777777" w:rsidR="00BA4252" w:rsidRPr="003F0AF2" w:rsidRDefault="00BA4252" w:rsidP="005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77DDC419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11B8EFFE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vorinostat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7EDB8EF4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</w:tr>
      <w:tr w:rsidR="00BA4252" w:rsidRPr="003F0AF2" w14:paraId="34E1339A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B2EA524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47825801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6E76F700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romidepsin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64EEB6A1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</w:tr>
      <w:tr w:rsidR="00BA4252" w:rsidRPr="003F0AF2" w14:paraId="6E1C4CB6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E85711D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20513B0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03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67525F0C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panobinostat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5E153197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</w:tr>
      <w:tr w:rsidR="00BA4252" w:rsidRPr="003F0AF2" w14:paraId="753CDFBA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EB7E0AC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7F32F861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04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616F8F8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belinostat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0FE23CA2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</w:tr>
      <w:tr w:rsidR="00BA4252" w:rsidRPr="003F0AF2" w14:paraId="0C142A43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B5FCA59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64E281D6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05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609BCFD9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entinostat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5481A141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</w:tr>
      <w:tr w:rsidR="00BA4252" w:rsidRPr="003F0AF2" w14:paraId="42487DC7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CA5F22D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L01XJ</w:t>
            </w:r>
          </w:p>
        </w:tc>
        <w:tc>
          <w:tcPr>
            <w:tcW w:w="4645" w:type="dxa"/>
            <w:gridSpan w:val="2"/>
            <w:shd w:val="clear" w:color="auto" w:fill="auto"/>
            <w:noWrap/>
            <w:vAlign w:val="bottom"/>
            <w:hideMark/>
          </w:tcPr>
          <w:p w14:paraId="05489E24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Hedgehog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</w:t>
            </w: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pathway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inhibitors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4DE76CDF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A4252" w:rsidRPr="003F0AF2" w14:paraId="4EE69FA9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20E222B" w14:textId="77777777" w:rsidR="00BA4252" w:rsidRPr="003F0AF2" w:rsidRDefault="00BA4252" w:rsidP="005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2341B486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2AB7378C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vismodegib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51DAB88B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</w:tr>
      <w:tr w:rsidR="00BA4252" w:rsidRPr="003F0AF2" w14:paraId="70A07D14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087F735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7B235370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1544EFD2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sonidegib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10B0FB2C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</w:tr>
      <w:tr w:rsidR="00BA4252" w:rsidRPr="003F0AF2" w14:paraId="1757722E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7EB6E03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7DE84BC4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03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53AFA6DF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glasdegib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14A19ED8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</w:tr>
      <w:tr w:rsidR="00BA4252" w:rsidRPr="00FC0FE7" w14:paraId="571983B6" w14:textId="77777777" w:rsidTr="00550176">
        <w:trPr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0C3FA8C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L01XK</w:t>
            </w:r>
          </w:p>
        </w:tc>
        <w:tc>
          <w:tcPr>
            <w:tcW w:w="7327" w:type="dxa"/>
            <w:gridSpan w:val="4"/>
          </w:tcPr>
          <w:p w14:paraId="496F8A4D" w14:textId="77777777" w:rsidR="00BA4252" w:rsidRPr="00A5509C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 w:rsidRPr="00A5509C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Poly (ADP-ribose) polymerase (PARP) inhibitors</w:t>
            </w:r>
          </w:p>
        </w:tc>
      </w:tr>
      <w:tr w:rsidR="00BA4252" w:rsidRPr="003F0AF2" w14:paraId="16724531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8DED1DC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6725983F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284E92FD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olaparib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6969AF2D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</w:tr>
      <w:tr w:rsidR="00BA4252" w:rsidRPr="003F0AF2" w14:paraId="2A01E0FB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D5153C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619C6D9F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492649E6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niraparib</w:t>
            </w:r>
            <w:proofErr w:type="spellEnd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5CEDCDED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</w:tr>
      <w:tr w:rsidR="00BA4252" w:rsidRPr="003F0AF2" w14:paraId="0794F666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520B58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72E0ECA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03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39E3E976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rucaparib</w:t>
            </w:r>
            <w:proofErr w:type="spellEnd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7780143A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</w:tr>
      <w:tr w:rsidR="00BA4252" w:rsidRPr="003F0AF2" w14:paraId="69C2DCEC" w14:textId="77777777" w:rsidTr="00550176">
        <w:trPr>
          <w:gridAfter w:val="1"/>
          <w:wAfter w:w="635" w:type="dxa"/>
          <w:trHeight w:val="119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BD6E4F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14:paraId="163DC2F0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04</w:t>
            </w:r>
          </w:p>
        </w:tc>
        <w:tc>
          <w:tcPr>
            <w:tcW w:w="4053" w:type="dxa"/>
            <w:shd w:val="clear" w:color="auto" w:fill="auto"/>
            <w:noWrap/>
            <w:vAlign w:val="bottom"/>
            <w:hideMark/>
          </w:tcPr>
          <w:p w14:paraId="5A6C3CF0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talazoparib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056AB588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</w:tr>
    </w:tbl>
    <w:p w14:paraId="73A2449D" w14:textId="77777777" w:rsidR="00BA4252" w:rsidRDefault="00BA4252" w:rsidP="00BA4252">
      <w:pPr>
        <w:rPr>
          <w:rFonts w:cstheme="minorHAnsi"/>
          <w:lang w:val="en-GB"/>
        </w:rPr>
      </w:pPr>
    </w:p>
    <w:p w14:paraId="332F370B" w14:textId="77777777" w:rsidR="00BA4252" w:rsidRDefault="00BA4252" w:rsidP="00BA4252">
      <w:pPr>
        <w:rPr>
          <w:rFonts w:cstheme="minorHAnsi"/>
          <w:lang w:val="en-GB"/>
        </w:rPr>
      </w:pPr>
    </w:p>
    <w:p w14:paraId="355F6C26" w14:textId="2C54AEE2" w:rsidR="00BA4252" w:rsidRPr="001A5143" w:rsidRDefault="001A5143" w:rsidP="00BA4252">
      <w:pPr>
        <w:rPr>
          <w:rFonts w:cstheme="minorHAnsi"/>
          <w:b/>
          <w:sz w:val="28"/>
          <w:lang w:val="en-GB"/>
        </w:rPr>
      </w:pPr>
      <w:r w:rsidRPr="00C66735">
        <w:rPr>
          <w:rFonts w:cstheme="minorHAnsi"/>
          <w:b/>
          <w:sz w:val="28"/>
          <w:lang w:val="en-GB"/>
        </w:rPr>
        <w:t>Proposed new ATC 4</w:t>
      </w:r>
      <w:r w:rsidRPr="00C66735">
        <w:rPr>
          <w:rFonts w:cstheme="minorHAnsi"/>
          <w:b/>
          <w:sz w:val="28"/>
          <w:vertAlign w:val="superscript"/>
          <w:lang w:val="en-GB"/>
        </w:rPr>
        <w:t>th</w:t>
      </w:r>
      <w:r w:rsidRPr="00C66735">
        <w:rPr>
          <w:rFonts w:cstheme="minorHAnsi"/>
          <w:b/>
          <w:sz w:val="28"/>
          <w:lang w:val="en-GB"/>
        </w:rPr>
        <w:t xml:space="preserve"> level in L01C Plant alkaloids and other natural products</w:t>
      </w:r>
      <w:r w:rsidRPr="00C66735">
        <w:rPr>
          <w:sz w:val="24"/>
          <w:lang w:val="en-GB"/>
        </w:rPr>
        <w:t xml:space="preserve"> 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639"/>
        <w:gridCol w:w="4020"/>
        <w:gridCol w:w="1842"/>
      </w:tblGrid>
      <w:tr w:rsidR="00C921BA" w:rsidRPr="003F0AF2" w14:paraId="0601A4A4" w14:textId="77777777" w:rsidTr="00C921BA">
        <w:trPr>
          <w:trHeight w:val="623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A1E9B76" w14:textId="03C202B8" w:rsidR="00C921BA" w:rsidRPr="00A5509C" w:rsidRDefault="00C921BA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L01CE</w:t>
            </w:r>
          </w:p>
        </w:tc>
        <w:tc>
          <w:tcPr>
            <w:tcW w:w="465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6E5ED686" w14:textId="77777777" w:rsidR="00C921BA" w:rsidRDefault="00C921BA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Topoisomerase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1 inhibitors</w:t>
            </w:r>
          </w:p>
          <w:p w14:paraId="133EC8E0" w14:textId="029D7A05" w:rsidR="00C921BA" w:rsidRPr="00A5509C" w:rsidRDefault="00C921BA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bottom"/>
            <w:hideMark/>
          </w:tcPr>
          <w:p w14:paraId="43018FEC" w14:textId="1566D48E" w:rsidR="00C921BA" w:rsidRDefault="00C921BA" w:rsidP="001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Current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ATC </w:t>
            </w:r>
            <w:proofErr w:type="spellStart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code</w:t>
            </w:r>
            <w:proofErr w:type="spellEnd"/>
            <w:r w:rsidRPr="00A5509C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L01XX</w:t>
            </w: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—</w:t>
            </w:r>
          </w:p>
          <w:p w14:paraId="6AACE608" w14:textId="3F6C90F3" w:rsidR="00C921BA" w:rsidRPr="003F0AF2" w:rsidRDefault="00C921BA" w:rsidP="001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21BA" w:rsidRPr="003F0AF2" w14:paraId="7DC6D74C" w14:textId="77777777" w:rsidTr="00C921BA">
        <w:trPr>
          <w:trHeight w:val="80"/>
        </w:trPr>
        <w:tc>
          <w:tcPr>
            <w:tcW w:w="1437" w:type="dxa"/>
            <w:shd w:val="clear" w:color="auto" w:fill="auto"/>
            <w:noWrap/>
            <w:vAlign w:val="bottom"/>
          </w:tcPr>
          <w:p w14:paraId="3063ABCB" w14:textId="77777777" w:rsidR="00C921BA" w:rsidRDefault="00C921BA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  <w:tc>
          <w:tcPr>
            <w:tcW w:w="4659" w:type="dxa"/>
            <w:gridSpan w:val="2"/>
            <w:vMerge/>
            <w:shd w:val="clear" w:color="auto" w:fill="auto"/>
            <w:noWrap/>
            <w:vAlign w:val="bottom"/>
          </w:tcPr>
          <w:p w14:paraId="7AC25A8B" w14:textId="77777777" w:rsidR="00C921BA" w:rsidRDefault="00C921BA" w:rsidP="005501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bottom"/>
          </w:tcPr>
          <w:p w14:paraId="0D18717F" w14:textId="77777777" w:rsidR="00C921BA" w:rsidRDefault="00C921BA" w:rsidP="001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</w:tr>
      <w:tr w:rsidR="00BA4252" w:rsidRPr="003F0AF2" w14:paraId="1C08FB7B" w14:textId="77777777" w:rsidTr="0089450F">
        <w:trPr>
          <w:trHeight w:val="119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815D1FE" w14:textId="77777777" w:rsidR="00BA4252" w:rsidRPr="003F0AF2" w:rsidRDefault="00BA4252" w:rsidP="005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825A96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7E0D41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topotecan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358A57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</w:tr>
      <w:tr w:rsidR="00BA4252" w:rsidRPr="003F0AF2" w14:paraId="7A11007C" w14:textId="77777777" w:rsidTr="0089450F">
        <w:trPr>
          <w:trHeight w:val="119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FA4694A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167F9ED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0CEBBBDD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irinotecan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92BAB1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</w:tr>
      <w:tr w:rsidR="00BA4252" w:rsidRPr="003F0AF2" w14:paraId="236C727E" w14:textId="77777777" w:rsidTr="0089450F">
        <w:trPr>
          <w:trHeight w:val="119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94C9805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A70E524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03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28134A28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lang w:eastAsia="nb-NO"/>
              </w:rPr>
              <w:t>etirinotecan</w:t>
            </w:r>
            <w:proofErr w:type="spellEnd"/>
            <w:r w:rsidRPr="003F0AF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F0AF2">
              <w:rPr>
                <w:rFonts w:ascii="Calibri" w:eastAsia="Times New Roman" w:hAnsi="Calibri" w:cs="Calibri"/>
                <w:lang w:eastAsia="nb-NO"/>
              </w:rPr>
              <w:t>pegol</w:t>
            </w:r>
            <w:proofErr w:type="spellEnd"/>
            <w:r w:rsidRPr="003F0AF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109D3A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</w:tr>
      <w:tr w:rsidR="00BA4252" w:rsidRPr="003F0AF2" w14:paraId="74B56F83" w14:textId="77777777" w:rsidTr="0089450F">
        <w:trPr>
          <w:trHeight w:val="119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2711D00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8723895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04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0F16CB7" w14:textId="77777777" w:rsidR="00BA4252" w:rsidRPr="003F0AF2" w:rsidRDefault="00BA4252" w:rsidP="0055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AF2">
              <w:rPr>
                <w:rFonts w:ascii="Calibri" w:eastAsia="Times New Roman" w:hAnsi="Calibri" w:cs="Calibri"/>
                <w:color w:val="000000"/>
                <w:lang w:eastAsia="nb-NO"/>
              </w:rPr>
              <w:t>belotecan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E49858" w14:textId="77777777" w:rsidR="00BA4252" w:rsidRPr="003F0AF2" w:rsidRDefault="00BA4252" w:rsidP="0055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</w:tr>
    </w:tbl>
    <w:p w14:paraId="6F83E50E" w14:textId="77777777" w:rsidR="00BA4252" w:rsidRDefault="00BA4252">
      <w:pPr>
        <w:rPr>
          <w:lang w:val="en-GB"/>
        </w:rPr>
      </w:pPr>
    </w:p>
    <w:sectPr w:rsidR="00BA425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C8AE" w14:textId="77777777" w:rsidR="0087651C" w:rsidRDefault="0087651C" w:rsidP="0087651C">
      <w:pPr>
        <w:spacing w:after="0" w:line="240" w:lineRule="auto"/>
      </w:pPr>
      <w:r>
        <w:separator/>
      </w:r>
    </w:p>
  </w:endnote>
  <w:endnote w:type="continuationSeparator" w:id="0">
    <w:p w14:paraId="2C4BD67A" w14:textId="77777777" w:rsidR="0087651C" w:rsidRDefault="0087651C" w:rsidP="0087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tblpX="-142" w:tblpY="15525"/>
      <w:tblW w:w="9498" w:type="dxa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2835"/>
      <w:gridCol w:w="3261"/>
    </w:tblGrid>
    <w:tr w:rsidR="0087651C" w:rsidRPr="00FC0FE7" w14:paraId="2CD9DECF" w14:textId="77777777" w:rsidTr="00130941">
      <w:tc>
        <w:tcPr>
          <w:tcW w:w="3402" w:type="dxa"/>
        </w:tcPr>
        <w:p w14:paraId="6D9FB75B" w14:textId="77777777" w:rsidR="0087651C" w:rsidRPr="004E5332" w:rsidRDefault="0087651C" w:rsidP="0087651C">
          <w:pPr>
            <w:pStyle w:val="Bunntekst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Norwegian Institute of Public Health</w:t>
          </w:r>
          <w:r>
            <w:rPr>
              <w:sz w:val="18"/>
              <w:szCs w:val="18"/>
              <w:lang w:val="en-GB"/>
            </w:rPr>
            <w:br/>
          </w:r>
          <w:r w:rsidRPr="004E5332">
            <w:rPr>
              <w:sz w:val="18"/>
              <w:szCs w:val="18"/>
              <w:lang w:val="en-GB"/>
            </w:rPr>
            <w:t>P</w:t>
          </w:r>
          <w:r>
            <w:rPr>
              <w:sz w:val="18"/>
              <w:szCs w:val="18"/>
              <w:lang w:val="en-GB"/>
            </w:rPr>
            <w:t>.O. Box</w:t>
          </w:r>
          <w:r w:rsidRPr="004E5332">
            <w:rPr>
              <w:sz w:val="18"/>
              <w:szCs w:val="18"/>
              <w:lang w:val="en-GB"/>
            </w:rPr>
            <w:t xml:space="preserve"> 222 </w:t>
          </w:r>
          <w:proofErr w:type="spellStart"/>
          <w:r w:rsidRPr="004E5332">
            <w:rPr>
              <w:sz w:val="18"/>
              <w:szCs w:val="18"/>
              <w:lang w:val="en-GB"/>
            </w:rPr>
            <w:t>Skøyen</w:t>
          </w:r>
          <w:proofErr w:type="spellEnd"/>
        </w:p>
        <w:p w14:paraId="234A1439" w14:textId="77777777" w:rsidR="0087651C" w:rsidRPr="004E5332" w:rsidRDefault="0087651C" w:rsidP="0087651C">
          <w:pPr>
            <w:pStyle w:val="Bunntekst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N-</w:t>
          </w:r>
          <w:r w:rsidRPr="004E5332">
            <w:rPr>
              <w:sz w:val="18"/>
              <w:szCs w:val="18"/>
              <w:lang w:val="en-GB"/>
            </w:rPr>
            <w:t>0213 OSLO</w:t>
          </w:r>
        </w:p>
      </w:tc>
      <w:tc>
        <w:tcPr>
          <w:tcW w:w="2835" w:type="dxa"/>
        </w:tcPr>
        <w:p w14:paraId="6BF6936A" w14:textId="77777777" w:rsidR="0087651C" w:rsidRPr="00967B30" w:rsidRDefault="0087651C" w:rsidP="0087651C">
          <w:pPr>
            <w:pStyle w:val="Bunntekst"/>
            <w:rPr>
              <w:sz w:val="18"/>
              <w:szCs w:val="18"/>
              <w:lang w:val="en-GB"/>
            </w:rPr>
          </w:pPr>
          <w:r w:rsidRPr="00967B30">
            <w:rPr>
              <w:sz w:val="18"/>
              <w:szCs w:val="18"/>
              <w:lang w:val="en-GB"/>
            </w:rPr>
            <w:t>Visiting Address:</w:t>
          </w:r>
        </w:p>
        <w:p w14:paraId="6D823900" w14:textId="77777777" w:rsidR="0087651C" w:rsidRPr="003904CF" w:rsidRDefault="0087651C" w:rsidP="0087651C">
          <w:pPr>
            <w:pStyle w:val="Bunntekst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Sandakerveien</w:t>
          </w:r>
          <w:proofErr w:type="spellEnd"/>
          <w:r>
            <w:rPr>
              <w:sz w:val="18"/>
              <w:szCs w:val="18"/>
              <w:lang w:val="en-GB"/>
            </w:rPr>
            <w:t xml:space="preserve"> 24C, building</w:t>
          </w:r>
          <w:r w:rsidRPr="00967B30">
            <w:rPr>
              <w:sz w:val="18"/>
              <w:szCs w:val="18"/>
              <w:lang w:val="en-GB"/>
            </w:rPr>
            <w:t xml:space="preserve"> C</w:t>
          </w:r>
        </w:p>
      </w:tc>
      <w:tc>
        <w:tcPr>
          <w:tcW w:w="3261" w:type="dxa"/>
        </w:tcPr>
        <w:p w14:paraId="37D199A1" w14:textId="77777777" w:rsidR="0087651C" w:rsidRPr="00967B30" w:rsidRDefault="0087651C" w:rsidP="0087651C">
          <w:pPr>
            <w:pStyle w:val="Bunntekst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</w:t>
          </w:r>
          <w:r w:rsidRPr="00967B30">
            <w:rPr>
              <w:sz w:val="18"/>
              <w:szCs w:val="18"/>
              <w:lang w:val="en-GB"/>
            </w:rPr>
            <w:t xml:space="preserve">: </w:t>
          </w:r>
          <w:r>
            <w:rPr>
              <w:sz w:val="18"/>
              <w:szCs w:val="18"/>
              <w:lang w:val="en-GB"/>
            </w:rPr>
            <w:t xml:space="preserve">+ 47 </w:t>
          </w:r>
          <w:r w:rsidRPr="00967B30">
            <w:rPr>
              <w:sz w:val="18"/>
              <w:szCs w:val="18"/>
              <w:lang w:val="en-GB"/>
            </w:rPr>
            <w:t>21 07 81 60</w:t>
          </w:r>
        </w:p>
        <w:p w14:paraId="7EFF8D3A" w14:textId="77777777" w:rsidR="0087651C" w:rsidRPr="006B502E" w:rsidRDefault="0087651C" w:rsidP="0087651C">
          <w:pPr>
            <w:pStyle w:val="Bunntekst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Email</w:t>
          </w:r>
          <w:r w:rsidRPr="00967B30">
            <w:rPr>
              <w:sz w:val="18"/>
              <w:szCs w:val="18"/>
              <w:lang w:val="en-GB"/>
            </w:rPr>
            <w:t>: whocc@fhi.no</w:t>
          </w:r>
        </w:p>
      </w:tc>
    </w:tr>
  </w:tbl>
  <w:p w14:paraId="708EDD83" w14:textId="77777777" w:rsidR="0087651C" w:rsidRPr="00727ABA" w:rsidRDefault="0087651C">
    <w:pPr>
      <w:pStyle w:val="Bunn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5677" w14:textId="77777777" w:rsidR="0087651C" w:rsidRPr="0087651C" w:rsidRDefault="0087651C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ED98" w14:textId="77777777" w:rsidR="0087651C" w:rsidRDefault="0087651C" w:rsidP="0087651C">
      <w:pPr>
        <w:spacing w:after="0" w:line="240" w:lineRule="auto"/>
      </w:pPr>
      <w:r>
        <w:separator/>
      </w:r>
    </w:p>
  </w:footnote>
  <w:footnote w:type="continuationSeparator" w:id="0">
    <w:p w14:paraId="365911C8" w14:textId="77777777" w:rsidR="0087651C" w:rsidRDefault="0087651C" w:rsidP="0087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9DAD" w14:textId="77777777" w:rsidR="0087651C" w:rsidRPr="001F3BD3" w:rsidRDefault="00FC0FE7" w:rsidP="0087651C">
    <w:pPr>
      <w:pStyle w:val="Topptekst"/>
      <w:ind w:left="1276"/>
      <w:rPr>
        <w:rFonts w:ascii="Arial" w:hAnsi="Arial" w:cs="Arial"/>
        <w:lang w:val="en-US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41BF9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pt;margin-top:-14.75pt;width:54.7pt;height:50.5pt;z-index:251659264" o:allowincell="f">
          <v:imagedata r:id="rId1" o:title=""/>
        </v:shape>
        <o:OLEObject Type="Embed" ProgID="MS_ClipArt_Gallery" ShapeID="_x0000_s2049" DrawAspect="Content" ObjectID="_1635680120" r:id="rId2"/>
      </w:object>
    </w:r>
    <w:r w:rsidR="0087651C" w:rsidRPr="00263C46">
      <w:rPr>
        <w:rFonts w:ascii="Arial" w:hAnsi="Arial" w:cs="Arial"/>
        <w:lang w:val="en-US"/>
      </w:rPr>
      <w:t>W</w:t>
    </w:r>
    <w:r w:rsidR="0087651C">
      <w:rPr>
        <w:rFonts w:ascii="Arial" w:hAnsi="Arial" w:cs="Arial"/>
        <w:lang w:val="en-US"/>
      </w:rPr>
      <w:t>HO</w:t>
    </w:r>
    <w:r w:rsidR="0087651C" w:rsidRPr="00263C46">
      <w:rPr>
        <w:rFonts w:ascii="Arial" w:hAnsi="Arial" w:cs="Arial"/>
        <w:lang w:val="en-US"/>
      </w:rPr>
      <w:t xml:space="preserve"> Collaborating Centre</w:t>
    </w:r>
    <w:r w:rsidR="0087651C">
      <w:rPr>
        <w:rFonts w:ascii="Arial" w:hAnsi="Arial" w:cs="Arial"/>
        <w:lang w:val="en-US"/>
      </w:rPr>
      <w:t xml:space="preserve"> </w:t>
    </w:r>
    <w:r w:rsidR="0087651C" w:rsidRPr="00263C46">
      <w:rPr>
        <w:rFonts w:ascii="Arial" w:hAnsi="Arial" w:cs="Arial"/>
        <w:lang w:val="en-US"/>
      </w:rPr>
      <w:t xml:space="preserve">for </w:t>
    </w:r>
    <w:r w:rsidR="0087651C">
      <w:rPr>
        <w:rFonts w:ascii="Arial" w:hAnsi="Arial" w:cs="Arial"/>
        <w:lang w:val="en-US"/>
      </w:rPr>
      <w:br/>
    </w:r>
    <w:r w:rsidR="0087651C" w:rsidRPr="00263C46">
      <w:rPr>
        <w:rFonts w:ascii="Arial" w:hAnsi="Arial" w:cs="Arial"/>
        <w:lang w:val="en-US"/>
      </w:rPr>
      <w:t>Drug Statistics Methodology</w:t>
    </w:r>
  </w:p>
  <w:p w14:paraId="7755A93A" w14:textId="77777777" w:rsidR="0087651C" w:rsidRPr="0087651C" w:rsidRDefault="0087651C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DD74" w14:textId="77777777" w:rsidR="0087651C" w:rsidRPr="0087651C" w:rsidRDefault="0087651C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3283"/>
    <w:multiLevelType w:val="hybridMultilevel"/>
    <w:tmpl w:val="23526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78D4"/>
    <w:multiLevelType w:val="hybridMultilevel"/>
    <w:tmpl w:val="22B49C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07B1"/>
    <w:multiLevelType w:val="hybridMultilevel"/>
    <w:tmpl w:val="72603B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22"/>
    <w:rsid w:val="00013AEF"/>
    <w:rsid w:val="000252AA"/>
    <w:rsid w:val="000309B9"/>
    <w:rsid w:val="000524E3"/>
    <w:rsid w:val="000F4761"/>
    <w:rsid w:val="000F6092"/>
    <w:rsid w:val="00106D94"/>
    <w:rsid w:val="00124FC1"/>
    <w:rsid w:val="001A5143"/>
    <w:rsid w:val="00207E73"/>
    <w:rsid w:val="00291772"/>
    <w:rsid w:val="002A3D59"/>
    <w:rsid w:val="002A3F10"/>
    <w:rsid w:val="002B7651"/>
    <w:rsid w:val="002E64F5"/>
    <w:rsid w:val="00337CC9"/>
    <w:rsid w:val="003568D7"/>
    <w:rsid w:val="00371ECB"/>
    <w:rsid w:val="00405AFF"/>
    <w:rsid w:val="00417658"/>
    <w:rsid w:val="004745B1"/>
    <w:rsid w:val="00554E5F"/>
    <w:rsid w:val="005648DC"/>
    <w:rsid w:val="005B42BF"/>
    <w:rsid w:val="005B6DE9"/>
    <w:rsid w:val="005F104E"/>
    <w:rsid w:val="005F22A9"/>
    <w:rsid w:val="006248F4"/>
    <w:rsid w:val="00655ED1"/>
    <w:rsid w:val="00681BD8"/>
    <w:rsid w:val="006C5CE7"/>
    <w:rsid w:val="006F28D6"/>
    <w:rsid w:val="007122D5"/>
    <w:rsid w:val="00727ABA"/>
    <w:rsid w:val="00752622"/>
    <w:rsid w:val="007B2A90"/>
    <w:rsid w:val="007E323F"/>
    <w:rsid w:val="0087651C"/>
    <w:rsid w:val="00881E02"/>
    <w:rsid w:val="0089450F"/>
    <w:rsid w:val="008B290D"/>
    <w:rsid w:val="00912598"/>
    <w:rsid w:val="00923D22"/>
    <w:rsid w:val="009F37F9"/>
    <w:rsid w:val="00A12097"/>
    <w:rsid w:val="00B34562"/>
    <w:rsid w:val="00B93F5B"/>
    <w:rsid w:val="00BA4252"/>
    <w:rsid w:val="00BC3D46"/>
    <w:rsid w:val="00BE17F6"/>
    <w:rsid w:val="00C10808"/>
    <w:rsid w:val="00C719CB"/>
    <w:rsid w:val="00C7689E"/>
    <w:rsid w:val="00C921BA"/>
    <w:rsid w:val="00CA55FF"/>
    <w:rsid w:val="00CE3EF2"/>
    <w:rsid w:val="00D22B22"/>
    <w:rsid w:val="00D439EC"/>
    <w:rsid w:val="00D80607"/>
    <w:rsid w:val="00D830CD"/>
    <w:rsid w:val="00D91FA0"/>
    <w:rsid w:val="00DA6305"/>
    <w:rsid w:val="00DE70E3"/>
    <w:rsid w:val="00E0151C"/>
    <w:rsid w:val="00E628F7"/>
    <w:rsid w:val="00E73063"/>
    <w:rsid w:val="00E82F7E"/>
    <w:rsid w:val="00EB1D9A"/>
    <w:rsid w:val="00F03AAC"/>
    <w:rsid w:val="00F331E3"/>
    <w:rsid w:val="00F44E46"/>
    <w:rsid w:val="00F57537"/>
    <w:rsid w:val="00F9234D"/>
    <w:rsid w:val="00FA7ED0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DF546F"/>
  <w15:chartTrackingRefBased/>
  <w15:docId w15:val="{99FB6435-21BD-4FB7-9C32-D9D63B6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55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23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57537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2F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2F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2F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2F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2F7E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BE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87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651C"/>
  </w:style>
  <w:style w:type="paragraph" w:styleId="Bunntekst">
    <w:name w:val="footer"/>
    <w:basedOn w:val="Normal"/>
    <w:link w:val="BunntekstTegn"/>
    <w:uiPriority w:val="99"/>
    <w:unhideWhenUsed/>
    <w:rsid w:val="0087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hocc@fhi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4" ma:contentTypeDescription="Opprett et nytt dokument." ma:contentTypeScope="" ma:versionID="7f1e83de32b8d131c61b83e4cc7cb8db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f23220eafa698e7121655cb582f84f0c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/>
    <FHI_TopicTaxHTField xmlns="9e7c1b5f-6b93-4ee4-9fa2-fda8f1b47cf5">
      <Terms xmlns="http://schemas.microsoft.com/office/infopath/2007/PartnerControls"/>
    </FHI_TopicTaxHTField>
    <icb05c94a4074d5ba89e5abc159a1605 xmlns="ef5dd856-6a32-4f72-920b-b3c650540c6d" xsi:nil="true"/>
    <TaxKeywordTaxHTField xmlns="ef5dd856-6a32-4f72-920b-b3c650540c6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4C9F615-264D-48A8-8746-BBF6B2163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65E51-4578-40C8-9F57-3268B29A6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7E8C9-112D-49BB-A8B5-284A35AA872F}">
  <ds:schemaRefs>
    <ds:schemaRef ds:uri="http://purl.org/dc/terms/"/>
    <ds:schemaRef ds:uri="d14a185d-edc4-4e77-8576-7b3d6607042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f5dd856-6a32-4f72-920b-b3c650540c6d"/>
    <ds:schemaRef ds:uri="9e7c1b5f-6b93-4ee4-9fa2-fda8f1b47c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Kristine</dc:creator>
  <cp:keywords/>
  <dc:description/>
  <cp:lastModifiedBy>Berg, Christian Lie</cp:lastModifiedBy>
  <cp:revision>2</cp:revision>
  <cp:lastPrinted>2019-10-24T14:07:00Z</cp:lastPrinted>
  <dcterms:created xsi:type="dcterms:W3CDTF">2019-11-19T13:49:00Z</dcterms:created>
  <dcterms:modified xsi:type="dcterms:W3CDTF">2019-11-19T13:49:00Z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</Properties>
</file>